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FA9F" w14:textId="4EE29F65" w:rsidR="00713101" w:rsidRPr="00CF3C17" w:rsidRDefault="00CF3C17" w:rsidP="00CF3C17">
      <w:pPr>
        <w:jc w:val="center"/>
        <w:rPr>
          <w:b/>
          <w:bCs/>
        </w:rPr>
      </w:pPr>
      <w:r w:rsidRPr="00CF3C17">
        <w:rPr>
          <w:b/>
          <w:bCs/>
        </w:rPr>
        <w:t>REGDOC-1.2.3, Licence Application Guide: Licence to Prepare Site for a Deep Geological Repository</w:t>
      </w:r>
    </w:p>
    <w:p w14:paraId="6709C838" w14:textId="56190097" w:rsidR="00CF3C17" w:rsidRPr="00CF3C17" w:rsidRDefault="00CF3C17" w:rsidP="00CF3C17">
      <w:pPr>
        <w:jc w:val="center"/>
        <w:rPr>
          <w:b/>
          <w:bCs/>
        </w:rPr>
      </w:pPr>
      <w:r w:rsidRPr="00CF3C17">
        <w:rPr>
          <w:b/>
          <w:bCs/>
        </w:rPr>
        <w:t>Webinar Summary</w:t>
      </w:r>
    </w:p>
    <w:p w14:paraId="1838723B" w14:textId="77777777" w:rsidR="00CF3C17" w:rsidRDefault="00CF3C17" w:rsidP="005935C1">
      <w:pPr>
        <w:rPr>
          <w:b/>
          <w:bCs/>
        </w:rPr>
      </w:pPr>
    </w:p>
    <w:p w14:paraId="0FB735C6" w14:textId="679DCB02" w:rsidR="00C2624B" w:rsidRPr="00E44335" w:rsidRDefault="000A7089" w:rsidP="005935C1">
      <w:pPr>
        <w:rPr>
          <w:b/>
          <w:bCs/>
        </w:rPr>
      </w:pPr>
      <w:r w:rsidRPr="00E44335">
        <w:rPr>
          <w:b/>
          <w:bCs/>
        </w:rPr>
        <w:t>Introduction</w:t>
      </w:r>
    </w:p>
    <w:p w14:paraId="1092AE20" w14:textId="50BBC265" w:rsidR="00A74148" w:rsidRPr="00262340" w:rsidRDefault="00F65805" w:rsidP="00A74148">
      <w:r>
        <w:t xml:space="preserve">The CNSC has prepared draft regulatory document </w:t>
      </w:r>
      <w:r w:rsidRPr="00262340">
        <w:t xml:space="preserve">REGDOC-1.2.3, </w:t>
      </w:r>
      <w:r w:rsidRPr="00262340">
        <w:rPr>
          <w:i/>
          <w:iCs/>
        </w:rPr>
        <w:t>Licence Application Guide: Licence to Prepare Site for a Deep Geological Repository</w:t>
      </w:r>
      <w:r>
        <w:rPr>
          <w:i/>
          <w:iCs/>
        </w:rPr>
        <w:t>,</w:t>
      </w:r>
      <w:r>
        <w:t xml:space="preserve"> to provide </w:t>
      </w:r>
      <w:r w:rsidRPr="00262340">
        <w:t>clarity on the requirements and guidance for preparing an application for a licence to prepare a site for a Deep Geological Repository (DGR) facility</w:t>
      </w:r>
      <w:r>
        <w:t xml:space="preserve">. </w:t>
      </w:r>
    </w:p>
    <w:p w14:paraId="662EB5FF" w14:textId="76618D5E" w:rsidR="00A74148" w:rsidRPr="00262340" w:rsidRDefault="00A74148" w:rsidP="00A74148">
      <w:r w:rsidRPr="00262340">
        <w:t xml:space="preserve">REGDOC-1.2.3 </w:t>
      </w:r>
      <w:r w:rsidR="00F65805">
        <w:t xml:space="preserve">is posted </w:t>
      </w:r>
      <w:r w:rsidR="0037756B">
        <w:t xml:space="preserve">on </w:t>
      </w:r>
      <w:hyperlink r:id="rId5" w:history="1">
        <w:r w:rsidR="0037756B" w:rsidRPr="0037756B">
          <w:rPr>
            <w:rStyle w:val="Hyperlink"/>
          </w:rPr>
          <w:t>Let’s Talk Nuclear Safety</w:t>
        </w:r>
      </w:hyperlink>
      <w:r w:rsidR="0037756B">
        <w:t xml:space="preserve"> </w:t>
      </w:r>
      <w:r w:rsidRPr="00262340">
        <w:t xml:space="preserve">for public consultation from February 22 to May 23, 2023. </w:t>
      </w:r>
      <w:r w:rsidR="007D5689">
        <w:t>A</w:t>
      </w:r>
      <w:r>
        <w:t>s</w:t>
      </w:r>
      <w:r w:rsidRPr="00262340">
        <w:t xml:space="preserve"> part of the CNSC engagement activities with the stakeholders, </w:t>
      </w:r>
      <w:r w:rsidR="00F65805">
        <w:t xml:space="preserve">the </w:t>
      </w:r>
      <w:r w:rsidR="007D5689">
        <w:t>CNSC presented</w:t>
      </w:r>
      <w:r w:rsidRPr="00262340">
        <w:t xml:space="preserve"> a public webinar on March 22, 2023, </w:t>
      </w:r>
      <w:r>
        <w:t>from</w:t>
      </w:r>
      <w:r w:rsidRPr="00262340">
        <w:t xml:space="preserve"> 6:30 p.m. to 8:00 p.m. EST. </w:t>
      </w:r>
    </w:p>
    <w:p w14:paraId="0E305127" w14:textId="409F72A2" w:rsidR="000A7089" w:rsidRPr="00E44335" w:rsidRDefault="000A7089" w:rsidP="005935C1">
      <w:pPr>
        <w:rPr>
          <w:b/>
          <w:bCs/>
        </w:rPr>
      </w:pPr>
      <w:r w:rsidRPr="00E44335">
        <w:rPr>
          <w:b/>
          <w:bCs/>
        </w:rPr>
        <w:t>Feedback</w:t>
      </w:r>
    </w:p>
    <w:p w14:paraId="5EB3E75E" w14:textId="3E760C92" w:rsidR="00A74148" w:rsidRDefault="00BE38E7" w:rsidP="00A74148">
      <w:r>
        <w:t xml:space="preserve">The 30-minute presentation about REGDOC-1.2.3 </w:t>
      </w:r>
      <w:r w:rsidR="00FE116E">
        <w:t>was</w:t>
      </w:r>
      <w:r>
        <w:t xml:space="preserve"> followed by a 1-hour question and answer session.</w:t>
      </w:r>
      <w:r w:rsidR="00A74148" w:rsidRPr="00262340">
        <w:t xml:space="preserve"> The questions</w:t>
      </w:r>
      <w:r w:rsidR="00A74148">
        <w:t xml:space="preserve"> received</w:t>
      </w:r>
      <w:r w:rsidR="007D5689">
        <w:t xml:space="preserve"> </w:t>
      </w:r>
      <w:r w:rsidR="00A74148" w:rsidRPr="00262340">
        <w:t xml:space="preserve">can be grouped </w:t>
      </w:r>
      <w:r w:rsidR="00A74148">
        <w:t>into</w:t>
      </w:r>
      <w:r w:rsidR="00A74148" w:rsidRPr="00262340">
        <w:t xml:space="preserve"> five themes:</w:t>
      </w:r>
      <w:r w:rsidR="00665FCF">
        <w:t xml:space="preserve"> information referenced in the REGDOC</w:t>
      </w:r>
      <w:r w:rsidR="00A74148" w:rsidRPr="00262340">
        <w:t>, physical design, site characterization, safety analysis and</w:t>
      </w:r>
      <w:r w:rsidR="00D07A31">
        <w:t xml:space="preserve"> the</w:t>
      </w:r>
      <w:r w:rsidR="00A74148" w:rsidRPr="00262340">
        <w:t xml:space="preserve"> </w:t>
      </w:r>
      <w:r w:rsidR="00A74148">
        <w:t xml:space="preserve">licensing </w:t>
      </w:r>
      <w:r w:rsidR="00A74148" w:rsidRPr="00262340">
        <w:t xml:space="preserve">process. </w:t>
      </w:r>
    </w:p>
    <w:p w14:paraId="09F4CC8A" w14:textId="77777777" w:rsidR="00C3766D" w:rsidRDefault="00C3766D" w:rsidP="00A74148">
      <w:pPr>
        <w:rPr>
          <w:i/>
          <w:iCs/>
          <w:u w:val="single"/>
        </w:rPr>
      </w:pPr>
    </w:p>
    <w:p w14:paraId="2467F9AC" w14:textId="6A8BA2E3" w:rsidR="00665FCF" w:rsidRPr="00365493" w:rsidRDefault="00665FCF" w:rsidP="00A74148">
      <w:pPr>
        <w:rPr>
          <w:i/>
          <w:iCs/>
          <w:u w:val="single"/>
        </w:rPr>
      </w:pPr>
      <w:r w:rsidRPr="00365493">
        <w:rPr>
          <w:i/>
          <w:iCs/>
          <w:u w:val="single"/>
        </w:rPr>
        <w:t>Information referenced in the REGDOC</w:t>
      </w:r>
    </w:p>
    <w:p w14:paraId="5BCAFFDF" w14:textId="512266C0" w:rsidR="001510F1" w:rsidRDefault="001510F1" w:rsidP="00A74148">
      <w:r>
        <w:t>Participa</w:t>
      </w:r>
      <w:r w:rsidR="00CF3C17">
        <w:t>n</w:t>
      </w:r>
      <w:r>
        <w:t>ts asked questions about information referenced or information used to create REGDOC 1.2.3. This included the use of international references</w:t>
      </w:r>
      <w:r w:rsidR="007B33F2">
        <w:t>,</w:t>
      </w:r>
      <w:r>
        <w:t xml:space="preserve"> such as</w:t>
      </w:r>
      <w:r w:rsidR="000102C2">
        <w:t xml:space="preserve"> International Atomic Energy Agency (IAEA)</w:t>
      </w:r>
      <w:r>
        <w:t xml:space="preserve"> documents and different international practices</w:t>
      </w:r>
      <w:r w:rsidR="007B33F2">
        <w:t>,</w:t>
      </w:r>
      <w:r>
        <w:t xml:space="preserve"> such as the Yucca Mountain</w:t>
      </w:r>
      <w:r w:rsidR="007B33F2">
        <w:t xml:space="preserve"> nuclear waste repository</w:t>
      </w:r>
      <w:r>
        <w:t xml:space="preserve"> in the United States. </w:t>
      </w:r>
    </w:p>
    <w:p w14:paraId="1A20986E" w14:textId="38E3CAA7" w:rsidR="001510F1" w:rsidRDefault="001510F1" w:rsidP="00A74148">
      <w:r>
        <w:t xml:space="preserve">Some of the participants were interested in gaining knowledge about the enforceability of a regulatory document versus a CSA Standard. A question was </w:t>
      </w:r>
      <w:r w:rsidR="00E42492">
        <w:t xml:space="preserve">also </w:t>
      </w:r>
      <w:r>
        <w:t xml:space="preserve">asked in relation to other CNSC REGDOCs </w:t>
      </w:r>
      <w:r w:rsidR="00E42492">
        <w:t xml:space="preserve">licence </w:t>
      </w:r>
      <w:r>
        <w:t xml:space="preserve">application guides for site preparation. </w:t>
      </w:r>
    </w:p>
    <w:p w14:paraId="33AE383F" w14:textId="2EC1B093" w:rsidR="00665FCF" w:rsidRPr="00365493" w:rsidRDefault="00665FCF" w:rsidP="00A74148">
      <w:pPr>
        <w:rPr>
          <w:i/>
          <w:iCs/>
          <w:u w:val="single"/>
        </w:rPr>
      </w:pPr>
      <w:r w:rsidRPr="00365493">
        <w:rPr>
          <w:i/>
          <w:iCs/>
          <w:u w:val="single"/>
        </w:rPr>
        <w:t>Physical design</w:t>
      </w:r>
    </w:p>
    <w:p w14:paraId="796C0BA4" w14:textId="24AE006F" w:rsidR="00A74148" w:rsidRDefault="00A74148" w:rsidP="00A74148">
      <w:r>
        <w:t>Another topic mentioned during the question portion of the webinar was physical design</w:t>
      </w:r>
      <w:r w:rsidR="007D49DD">
        <w:t xml:space="preserve">. </w:t>
      </w:r>
      <w:r w:rsidR="00E42492">
        <w:t xml:space="preserve">Several </w:t>
      </w:r>
      <w:r w:rsidR="007D49DD">
        <w:t xml:space="preserve">questions were raised regarding the </w:t>
      </w:r>
      <w:r>
        <w:t>requirement of an exclusion zone for a DGR and existing regulations about buffer distance.</w:t>
      </w:r>
      <w:r w:rsidR="00E42492">
        <w:t xml:space="preserve"> </w:t>
      </w:r>
      <w:r w:rsidR="009D7A61">
        <w:t>Participants were looking for an</w:t>
      </w:r>
      <w:r w:rsidR="00E42492">
        <w:t xml:space="preserve"> explicitly defined exclusion zone rather than what is </w:t>
      </w:r>
      <w:r w:rsidR="009D7A61">
        <w:t xml:space="preserve">required, a </w:t>
      </w:r>
      <w:r w:rsidR="00E42492">
        <w:t>possib</w:t>
      </w:r>
      <w:r w:rsidR="009D7A61">
        <w:t xml:space="preserve">le </w:t>
      </w:r>
      <w:r w:rsidR="00E42492">
        <w:t>exclusion zone</w:t>
      </w:r>
      <w:r w:rsidR="009D7A61">
        <w:t>,</w:t>
      </w:r>
      <w:r w:rsidR="00E42492">
        <w:t xml:space="preserve"> depending on the application. </w:t>
      </w:r>
    </w:p>
    <w:p w14:paraId="7E4FC6C9" w14:textId="0ABAB211" w:rsidR="00665FCF" w:rsidRPr="00365493" w:rsidRDefault="00665FCF" w:rsidP="00A74148">
      <w:pPr>
        <w:rPr>
          <w:i/>
          <w:iCs/>
          <w:u w:val="single"/>
        </w:rPr>
      </w:pPr>
      <w:r w:rsidRPr="00365493">
        <w:rPr>
          <w:i/>
          <w:iCs/>
          <w:u w:val="single"/>
        </w:rPr>
        <w:t>Site characterization</w:t>
      </w:r>
    </w:p>
    <w:p w14:paraId="0B996407" w14:textId="1BD197A4" w:rsidR="00665FCF" w:rsidRDefault="00A74148" w:rsidP="00A74148">
      <w:r>
        <w:t xml:space="preserve">Site characterization was also discussed during the session. </w:t>
      </w:r>
      <w:r w:rsidR="00071F3E">
        <w:t>Some participants were interested in knowing the role the CNSC will perform in the determination of the suitability of a site proposed for a DGR facility, as well as its surrounding area, based on gathering site characterization information</w:t>
      </w:r>
      <w:r w:rsidR="0037756B">
        <w:t>.</w:t>
      </w:r>
      <w:r w:rsidR="00E42492">
        <w:t xml:space="preserve"> There were also questions on road access and possible noise pollution due to construction.</w:t>
      </w:r>
    </w:p>
    <w:p w14:paraId="27D677D4" w14:textId="111D9FA0" w:rsidR="00665FCF" w:rsidRPr="00365493" w:rsidRDefault="00665FCF" w:rsidP="00A74148">
      <w:pPr>
        <w:rPr>
          <w:i/>
          <w:iCs/>
          <w:u w:val="single"/>
        </w:rPr>
      </w:pPr>
      <w:r w:rsidRPr="00365493">
        <w:rPr>
          <w:i/>
          <w:iCs/>
          <w:u w:val="single"/>
        </w:rPr>
        <w:t>Safety Analysis</w:t>
      </w:r>
    </w:p>
    <w:p w14:paraId="41077AE1" w14:textId="32E11191" w:rsidR="00A74148" w:rsidRDefault="00D02954" w:rsidP="00A74148">
      <w:r>
        <w:lastRenderedPageBreak/>
        <w:t>T</w:t>
      </w:r>
      <w:r w:rsidR="00A74148">
        <w:t>here</w:t>
      </w:r>
      <w:r w:rsidR="007D49DD">
        <w:t xml:space="preserve"> was</w:t>
      </w:r>
      <w:r w:rsidR="00A74148">
        <w:t xml:space="preserve"> interest in the difference between a full safety case and the demonstration of the facility’s full lifecycle suitability.</w:t>
      </w:r>
    </w:p>
    <w:p w14:paraId="0A3E6A63" w14:textId="2D04D53C" w:rsidR="00D02954" w:rsidRPr="00365493" w:rsidRDefault="00D02954" w:rsidP="00A74148">
      <w:pPr>
        <w:rPr>
          <w:i/>
          <w:iCs/>
          <w:u w:val="single"/>
        </w:rPr>
      </w:pPr>
      <w:r w:rsidRPr="00365493">
        <w:rPr>
          <w:i/>
          <w:iCs/>
          <w:u w:val="single"/>
        </w:rPr>
        <w:t>Licensing process</w:t>
      </w:r>
    </w:p>
    <w:p w14:paraId="5701DD95" w14:textId="2E897649" w:rsidR="00A74148" w:rsidRDefault="00A74148" w:rsidP="00A74148">
      <w:r>
        <w:t xml:space="preserve">Finally, regarding the licensing process, </w:t>
      </w:r>
      <w:r w:rsidR="007B33F2">
        <w:t>a</w:t>
      </w:r>
      <w:r>
        <w:t xml:space="preserve"> participant</w:t>
      </w:r>
      <w:r w:rsidR="007B33F2">
        <w:t xml:space="preserve"> had a question</w:t>
      </w:r>
      <w:r>
        <w:t xml:space="preserve"> related to the licence to abandon stage and the</w:t>
      </w:r>
      <w:r w:rsidR="007B33F2">
        <w:t xml:space="preserve"> CNSC’s</w:t>
      </w:r>
      <w:r>
        <w:t xml:space="preserve"> regulatory monitoring and control </w:t>
      </w:r>
      <w:r w:rsidR="007B33F2">
        <w:t>during</w:t>
      </w:r>
      <w:r>
        <w:t xml:space="preserve"> that period.</w:t>
      </w:r>
    </w:p>
    <w:p w14:paraId="2A9045D9" w14:textId="0D1C4069" w:rsidR="000A7089" w:rsidRPr="00365493" w:rsidRDefault="000A7089" w:rsidP="005935C1">
      <w:pPr>
        <w:rPr>
          <w:b/>
          <w:bCs/>
        </w:rPr>
      </w:pPr>
      <w:r w:rsidRPr="00365493">
        <w:rPr>
          <w:b/>
          <w:bCs/>
        </w:rPr>
        <w:t>Conclusion</w:t>
      </w:r>
    </w:p>
    <w:p w14:paraId="1468DC80" w14:textId="66D7D8B6" w:rsidR="004757F5" w:rsidRDefault="00A74148">
      <w:r>
        <w:t xml:space="preserve">The CNSC will </w:t>
      </w:r>
      <w:r w:rsidR="00D72C6E">
        <w:t xml:space="preserve">consider </w:t>
      </w:r>
      <w:r>
        <w:t xml:space="preserve">all the </w:t>
      </w:r>
      <w:r w:rsidR="00D72C6E">
        <w:t>feedback</w:t>
      </w:r>
      <w:r w:rsidR="00C56E45">
        <w:t xml:space="preserve"> </w:t>
      </w:r>
      <w:r>
        <w:t xml:space="preserve">received during the consultation period </w:t>
      </w:r>
      <w:r w:rsidR="00365493">
        <w:t>before</w:t>
      </w:r>
      <w:r w:rsidR="00F1754C">
        <w:t xml:space="preserve"> </w:t>
      </w:r>
      <w:r w:rsidR="00D72C6E">
        <w:t xml:space="preserve">bringing REGDOC-1.2.3 </w:t>
      </w:r>
      <w:r w:rsidR="00F1754C">
        <w:t>to the Commission for a decision.</w:t>
      </w:r>
      <w:r>
        <w:t xml:space="preserve"> </w:t>
      </w:r>
    </w:p>
    <w:sectPr w:rsidR="00475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E4568"/>
    <w:multiLevelType w:val="hybridMultilevel"/>
    <w:tmpl w:val="BBEA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86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47"/>
    <w:rsid w:val="000102C2"/>
    <w:rsid w:val="00071F3E"/>
    <w:rsid w:val="000A7089"/>
    <w:rsid w:val="000C3C64"/>
    <w:rsid w:val="001510F1"/>
    <w:rsid w:val="001B39B5"/>
    <w:rsid w:val="001F08A1"/>
    <w:rsid w:val="00211AB1"/>
    <w:rsid w:val="00262340"/>
    <w:rsid w:val="0030243A"/>
    <w:rsid w:val="00337A91"/>
    <w:rsid w:val="0034530A"/>
    <w:rsid w:val="00345CA6"/>
    <w:rsid w:val="0035396E"/>
    <w:rsid w:val="00365493"/>
    <w:rsid w:val="0037756B"/>
    <w:rsid w:val="003F1228"/>
    <w:rsid w:val="00407025"/>
    <w:rsid w:val="004757F5"/>
    <w:rsid w:val="004A0A75"/>
    <w:rsid w:val="004D131B"/>
    <w:rsid w:val="0056169B"/>
    <w:rsid w:val="005935C1"/>
    <w:rsid w:val="005F1F0A"/>
    <w:rsid w:val="0063027B"/>
    <w:rsid w:val="00665FCF"/>
    <w:rsid w:val="00666A0B"/>
    <w:rsid w:val="00685F99"/>
    <w:rsid w:val="006E62D0"/>
    <w:rsid w:val="00713101"/>
    <w:rsid w:val="00716D0F"/>
    <w:rsid w:val="00722050"/>
    <w:rsid w:val="007B33F2"/>
    <w:rsid w:val="007D49DD"/>
    <w:rsid w:val="007D5689"/>
    <w:rsid w:val="0082293F"/>
    <w:rsid w:val="00842EA2"/>
    <w:rsid w:val="00850066"/>
    <w:rsid w:val="008D451A"/>
    <w:rsid w:val="008D794C"/>
    <w:rsid w:val="00900A38"/>
    <w:rsid w:val="00941519"/>
    <w:rsid w:val="00953D00"/>
    <w:rsid w:val="0097544A"/>
    <w:rsid w:val="00997C56"/>
    <w:rsid w:val="009B6FDC"/>
    <w:rsid w:val="009D7A61"/>
    <w:rsid w:val="009F10B6"/>
    <w:rsid w:val="00A30A82"/>
    <w:rsid w:val="00A36A8E"/>
    <w:rsid w:val="00A63600"/>
    <w:rsid w:val="00A71FEC"/>
    <w:rsid w:val="00A74148"/>
    <w:rsid w:val="00B02DAC"/>
    <w:rsid w:val="00B41A1F"/>
    <w:rsid w:val="00B52513"/>
    <w:rsid w:val="00B57DE8"/>
    <w:rsid w:val="00B744A3"/>
    <w:rsid w:val="00BA1F47"/>
    <w:rsid w:val="00BC294F"/>
    <w:rsid w:val="00BC47A1"/>
    <w:rsid w:val="00BE38E7"/>
    <w:rsid w:val="00C34D1D"/>
    <w:rsid w:val="00C3766D"/>
    <w:rsid w:val="00C56E45"/>
    <w:rsid w:val="00C65A8B"/>
    <w:rsid w:val="00C74020"/>
    <w:rsid w:val="00C82464"/>
    <w:rsid w:val="00C90A8A"/>
    <w:rsid w:val="00CD6B8A"/>
    <w:rsid w:val="00CF3333"/>
    <w:rsid w:val="00CF3C17"/>
    <w:rsid w:val="00D02954"/>
    <w:rsid w:val="00D07A31"/>
    <w:rsid w:val="00D25F77"/>
    <w:rsid w:val="00D72C6E"/>
    <w:rsid w:val="00E42492"/>
    <w:rsid w:val="00E44335"/>
    <w:rsid w:val="00E80C90"/>
    <w:rsid w:val="00ED1D5E"/>
    <w:rsid w:val="00F1754C"/>
    <w:rsid w:val="00F26ED9"/>
    <w:rsid w:val="00F65805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6761"/>
  <w15:chartTrackingRefBased/>
  <w15:docId w15:val="{30B299FE-AD22-4EF5-B810-B7F4633E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08A1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08A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5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0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stalknuclearsafety.ca/regdoc-1-2-3-licence-application-guide-deep-geological-reposi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Hoyos, Alejandra</dc:creator>
  <cp:keywords/>
  <dc:description/>
  <cp:lastModifiedBy>Ross, Wesley</cp:lastModifiedBy>
  <cp:revision>2</cp:revision>
  <dcterms:created xsi:type="dcterms:W3CDTF">2023-07-17T19:04:00Z</dcterms:created>
  <dcterms:modified xsi:type="dcterms:W3CDTF">2023-07-17T19:04:00Z</dcterms:modified>
</cp:coreProperties>
</file>