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BA21" w14:textId="73B2992E" w:rsidR="0067224F" w:rsidRPr="00890ABC" w:rsidRDefault="0067224F" w:rsidP="00890ABC">
      <w:pPr>
        <w:pStyle w:val="Heading1"/>
        <w:spacing w:before="0"/>
        <w:rPr>
          <w:rFonts w:ascii="Segoe UI" w:hAnsi="Segoe UI" w:cs="Segoe UI"/>
          <w:b/>
          <w:bCs/>
          <w:sz w:val="44"/>
          <w:szCs w:val="44"/>
          <w:lang w:val="en-US"/>
        </w:rPr>
      </w:pPr>
      <w:r w:rsidRPr="00890ABC">
        <w:rPr>
          <w:rFonts w:ascii="Segoe UI" w:hAnsi="Segoe UI" w:cs="Segoe UI"/>
          <w:b/>
          <w:bCs/>
          <w:sz w:val="44"/>
          <w:szCs w:val="44"/>
          <w:lang w:val="en-US"/>
        </w:rPr>
        <w:t xml:space="preserve">Darlington New Nuclear Project </w:t>
      </w:r>
    </w:p>
    <w:p w14:paraId="6DC4CAF6" w14:textId="0B2129A6" w:rsidR="00890ABC" w:rsidRPr="00C3196F" w:rsidRDefault="0026717A" w:rsidP="000A5454">
      <w:pPr>
        <w:pStyle w:val="Heading1"/>
        <w:spacing w:before="0"/>
        <w:rPr>
          <w:rFonts w:ascii="Segoe UI" w:hAnsi="Segoe UI" w:cs="Segoe UI"/>
          <w:b/>
          <w:bCs/>
          <w:color w:val="000000" w:themeColor="text1"/>
          <w:sz w:val="36"/>
          <w:szCs w:val="36"/>
          <w:lang w:val="en-US"/>
        </w:rPr>
      </w:pPr>
      <w:r>
        <w:rPr>
          <w:rFonts w:ascii="Segoe UI" w:hAnsi="Segoe UI" w:cs="Segoe UI"/>
          <w:b/>
          <w:bCs/>
          <w:color w:val="000000" w:themeColor="text1"/>
          <w:sz w:val="36"/>
          <w:szCs w:val="36"/>
          <w:lang w:val="en-US"/>
        </w:rPr>
        <w:t>DNNP Workshop</w:t>
      </w:r>
      <w:r w:rsidR="00890ABC" w:rsidRPr="00C3196F">
        <w:rPr>
          <w:rFonts w:ascii="Segoe UI" w:hAnsi="Segoe UI" w:cs="Segoe UI"/>
          <w:b/>
          <w:bCs/>
          <w:color w:val="000000" w:themeColor="text1"/>
          <w:sz w:val="36"/>
          <w:szCs w:val="36"/>
          <w:lang w:val="en-US"/>
        </w:rPr>
        <w:t xml:space="preserve"> Summary Report</w:t>
      </w:r>
    </w:p>
    <w:p w14:paraId="25AB68FB" w14:textId="6D443EF7" w:rsidR="00F73D0C" w:rsidRDefault="00F73D0C" w:rsidP="00F95339">
      <w:pPr>
        <w:pStyle w:val="Heading2"/>
        <w:rPr>
          <w:lang w:val="en-US"/>
        </w:rPr>
      </w:pPr>
    </w:p>
    <w:p w14:paraId="76E313E9" w14:textId="6609FAC1" w:rsidR="002352E7" w:rsidRPr="00890ABC" w:rsidRDefault="002352E7" w:rsidP="002352E7">
      <w:pPr>
        <w:rPr>
          <w:rFonts w:ascii="Segoe UI" w:hAnsi="Segoe UI" w:cs="Segoe UI"/>
          <w:b/>
          <w:bCs/>
          <w:sz w:val="36"/>
          <w:szCs w:val="36"/>
          <w:lang w:val="en-US"/>
        </w:rPr>
      </w:pPr>
      <w:r>
        <w:rPr>
          <w:rFonts w:ascii="Segoe UI" w:hAnsi="Segoe UI" w:cs="Segoe UI"/>
          <w:b/>
          <w:bCs/>
          <w:sz w:val="36"/>
          <w:szCs w:val="36"/>
          <w:lang w:val="en-US"/>
        </w:rPr>
        <w:t>Summary</w:t>
      </w:r>
    </w:p>
    <w:p w14:paraId="5A7A0B36" w14:textId="5DA3AA44" w:rsidR="002352E7" w:rsidRDefault="002352E7" w:rsidP="001F28A3">
      <w:pPr>
        <w:jc w:val="both"/>
        <w:rPr>
          <w:rFonts w:ascii="Segoe UI" w:hAnsi="Segoe UI" w:cs="Segoe UI"/>
          <w:color w:val="000000" w:themeColor="text1"/>
          <w:sz w:val="24"/>
          <w:szCs w:val="24"/>
        </w:rPr>
      </w:pPr>
      <w:r>
        <w:rPr>
          <w:rFonts w:ascii="Segoe UI" w:hAnsi="Segoe UI" w:cs="Segoe UI"/>
          <w:color w:val="000000" w:themeColor="text1"/>
          <w:sz w:val="24"/>
          <w:szCs w:val="24"/>
        </w:rPr>
        <w:t xml:space="preserve">As a modern and agile nuclear regulator, the Canadian Nuclear Safety Commission (CNSC) aims to be recognized as a trusted regulator and a source of objective scientific, technical, and regulatory information. The CNSC strives to </w:t>
      </w:r>
      <w:r w:rsidR="005020CE">
        <w:rPr>
          <w:rFonts w:ascii="Segoe UI" w:hAnsi="Segoe UI" w:cs="Segoe UI"/>
          <w:color w:val="000000" w:themeColor="text1"/>
          <w:sz w:val="24"/>
          <w:szCs w:val="24"/>
        </w:rPr>
        <w:t xml:space="preserve">build trust with the public and </w:t>
      </w:r>
      <w:r>
        <w:rPr>
          <w:rFonts w:ascii="Segoe UI" w:hAnsi="Segoe UI" w:cs="Segoe UI"/>
          <w:color w:val="000000" w:themeColor="text1"/>
          <w:sz w:val="24"/>
          <w:szCs w:val="24"/>
        </w:rPr>
        <w:t>be transparent in its engagement and outreach efforts, by providing opportunities to engage directly with staff and subject matter experts</w:t>
      </w:r>
      <w:r w:rsidR="005020CE">
        <w:rPr>
          <w:rFonts w:ascii="Segoe UI" w:hAnsi="Segoe UI" w:cs="Segoe UI"/>
          <w:color w:val="000000" w:themeColor="text1"/>
          <w:sz w:val="24"/>
          <w:szCs w:val="24"/>
        </w:rPr>
        <w:t xml:space="preserve"> in several formats.</w:t>
      </w:r>
    </w:p>
    <w:p w14:paraId="0D666907" w14:textId="3E811518" w:rsidR="005020CE" w:rsidRDefault="0069667F" w:rsidP="001F28A3">
      <w:pPr>
        <w:jc w:val="both"/>
        <w:rPr>
          <w:rFonts w:ascii="Segoe UI" w:hAnsi="Segoe UI" w:cs="Segoe UI"/>
          <w:color w:val="000000" w:themeColor="text1"/>
          <w:sz w:val="24"/>
          <w:szCs w:val="24"/>
        </w:rPr>
      </w:pPr>
      <w:r>
        <w:rPr>
          <w:rFonts w:ascii="Segoe UI" w:hAnsi="Segoe UI" w:cs="Segoe UI"/>
          <w:color w:val="000000" w:themeColor="text1"/>
          <w:sz w:val="24"/>
          <w:szCs w:val="24"/>
        </w:rPr>
        <w:t>In April 2023, t</w:t>
      </w:r>
      <w:r w:rsidR="005020CE">
        <w:rPr>
          <w:rFonts w:ascii="Segoe UI" w:hAnsi="Segoe UI" w:cs="Segoe UI"/>
          <w:color w:val="000000" w:themeColor="text1"/>
          <w:sz w:val="24"/>
          <w:szCs w:val="24"/>
        </w:rPr>
        <w:t xml:space="preserve">he CNSC </w:t>
      </w:r>
      <w:r w:rsidR="00234BEE">
        <w:rPr>
          <w:rFonts w:ascii="Segoe UI" w:hAnsi="Segoe UI" w:cs="Segoe UI"/>
          <w:color w:val="000000" w:themeColor="text1"/>
          <w:sz w:val="24"/>
          <w:szCs w:val="24"/>
        </w:rPr>
        <w:t xml:space="preserve">hosted a workshop with members of the public, Indigenous </w:t>
      </w:r>
      <w:proofErr w:type="gramStart"/>
      <w:r w:rsidR="00234BEE">
        <w:rPr>
          <w:rFonts w:ascii="Segoe UI" w:hAnsi="Segoe UI" w:cs="Segoe UI"/>
          <w:color w:val="000000" w:themeColor="text1"/>
          <w:sz w:val="24"/>
          <w:szCs w:val="24"/>
        </w:rPr>
        <w:t>Nations</w:t>
      </w:r>
      <w:proofErr w:type="gramEnd"/>
      <w:r w:rsidR="00234BEE">
        <w:rPr>
          <w:rFonts w:ascii="Segoe UI" w:hAnsi="Segoe UI" w:cs="Segoe UI"/>
          <w:color w:val="000000" w:themeColor="text1"/>
          <w:sz w:val="24"/>
          <w:szCs w:val="24"/>
        </w:rPr>
        <w:t xml:space="preserve"> and communities, as well as </w:t>
      </w:r>
      <w:r w:rsidR="00657BA0">
        <w:rPr>
          <w:rFonts w:ascii="Segoe UI" w:hAnsi="Segoe UI" w:cs="Segoe UI"/>
          <w:color w:val="000000" w:themeColor="text1"/>
          <w:sz w:val="24"/>
          <w:szCs w:val="24"/>
        </w:rPr>
        <w:t xml:space="preserve">members of the public </w:t>
      </w:r>
      <w:r w:rsidR="00234BEE">
        <w:rPr>
          <w:rFonts w:ascii="Segoe UI" w:hAnsi="Segoe UI" w:cs="Segoe UI"/>
          <w:color w:val="000000" w:themeColor="text1"/>
          <w:sz w:val="24"/>
          <w:szCs w:val="24"/>
        </w:rPr>
        <w:t>to hear comments and concerns on two documents submitted to support O</w:t>
      </w:r>
      <w:r w:rsidR="00AC2708">
        <w:rPr>
          <w:rFonts w:ascii="Segoe UI" w:hAnsi="Segoe UI" w:cs="Segoe UI"/>
          <w:color w:val="000000" w:themeColor="text1"/>
          <w:sz w:val="24"/>
          <w:szCs w:val="24"/>
        </w:rPr>
        <w:t>ntario Power Generation (O</w:t>
      </w:r>
      <w:r w:rsidR="00234BEE">
        <w:rPr>
          <w:rFonts w:ascii="Segoe UI" w:hAnsi="Segoe UI" w:cs="Segoe UI"/>
          <w:color w:val="000000" w:themeColor="text1"/>
          <w:sz w:val="24"/>
          <w:szCs w:val="24"/>
        </w:rPr>
        <w:t>PG’s</w:t>
      </w:r>
      <w:r w:rsidR="00AC2708">
        <w:rPr>
          <w:rFonts w:ascii="Segoe UI" w:hAnsi="Segoe UI" w:cs="Segoe UI"/>
          <w:color w:val="000000" w:themeColor="text1"/>
          <w:sz w:val="24"/>
          <w:szCs w:val="24"/>
        </w:rPr>
        <w:t>)</w:t>
      </w:r>
      <w:r w:rsidR="00234BEE">
        <w:rPr>
          <w:rFonts w:ascii="Segoe UI" w:hAnsi="Segoe UI" w:cs="Segoe UI"/>
          <w:color w:val="000000" w:themeColor="text1"/>
          <w:sz w:val="24"/>
          <w:szCs w:val="24"/>
        </w:rPr>
        <w:t xml:space="preserve"> review of the applicability of the D</w:t>
      </w:r>
      <w:r w:rsidR="00AC2708">
        <w:rPr>
          <w:rFonts w:ascii="Segoe UI" w:hAnsi="Segoe UI" w:cs="Segoe UI"/>
          <w:color w:val="000000" w:themeColor="text1"/>
          <w:sz w:val="24"/>
          <w:szCs w:val="24"/>
        </w:rPr>
        <w:t xml:space="preserve">arlington </w:t>
      </w:r>
      <w:r w:rsidR="00234BEE">
        <w:rPr>
          <w:rFonts w:ascii="Segoe UI" w:hAnsi="Segoe UI" w:cs="Segoe UI"/>
          <w:color w:val="000000" w:themeColor="text1"/>
          <w:sz w:val="24"/>
          <w:szCs w:val="24"/>
        </w:rPr>
        <w:t>N</w:t>
      </w:r>
      <w:r w:rsidR="00AC2708">
        <w:rPr>
          <w:rFonts w:ascii="Segoe UI" w:hAnsi="Segoe UI" w:cs="Segoe UI"/>
          <w:color w:val="000000" w:themeColor="text1"/>
          <w:sz w:val="24"/>
          <w:szCs w:val="24"/>
        </w:rPr>
        <w:t xml:space="preserve">ew </w:t>
      </w:r>
      <w:r w:rsidR="00234BEE">
        <w:rPr>
          <w:rFonts w:ascii="Segoe UI" w:hAnsi="Segoe UI" w:cs="Segoe UI"/>
          <w:color w:val="000000" w:themeColor="text1"/>
          <w:sz w:val="24"/>
          <w:szCs w:val="24"/>
        </w:rPr>
        <w:t>N</w:t>
      </w:r>
      <w:r w:rsidR="00AC2708">
        <w:rPr>
          <w:rFonts w:ascii="Segoe UI" w:hAnsi="Segoe UI" w:cs="Segoe UI"/>
          <w:color w:val="000000" w:themeColor="text1"/>
          <w:sz w:val="24"/>
          <w:szCs w:val="24"/>
        </w:rPr>
        <w:t xml:space="preserve">uclear </w:t>
      </w:r>
      <w:r w:rsidR="00234BEE">
        <w:rPr>
          <w:rFonts w:ascii="Segoe UI" w:hAnsi="Segoe UI" w:cs="Segoe UI"/>
          <w:color w:val="000000" w:themeColor="text1"/>
          <w:sz w:val="24"/>
          <w:szCs w:val="24"/>
        </w:rPr>
        <w:t>P</w:t>
      </w:r>
      <w:r w:rsidR="00AC2708">
        <w:rPr>
          <w:rFonts w:ascii="Segoe UI" w:hAnsi="Segoe UI" w:cs="Segoe UI"/>
          <w:color w:val="000000" w:themeColor="text1"/>
          <w:sz w:val="24"/>
          <w:szCs w:val="24"/>
        </w:rPr>
        <w:t>roject (DNNP)</w:t>
      </w:r>
      <w:r w:rsidR="00234BEE">
        <w:rPr>
          <w:rFonts w:ascii="Segoe UI" w:hAnsi="Segoe UI" w:cs="Segoe UI"/>
          <w:color w:val="000000" w:themeColor="text1"/>
          <w:sz w:val="24"/>
          <w:szCs w:val="24"/>
        </w:rPr>
        <w:t xml:space="preserve"> Environmental Assessment to the BWRX-300</w:t>
      </w:r>
      <w:r>
        <w:rPr>
          <w:rFonts w:ascii="Segoe UI" w:hAnsi="Segoe UI" w:cs="Segoe UI"/>
          <w:color w:val="000000" w:themeColor="text1"/>
          <w:sz w:val="24"/>
          <w:szCs w:val="24"/>
        </w:rPr>
        <w:t xml:space="preserve"> reactor. CNSC staff presented general information about the regulatory process and the </w:t>
      </w:r>
      <w:r w:rsidR="009D7B56">
        <w:rPr>
          <w:rFonts w:ascii="Segoe UI" w:hAnsi="Segoe UI" w:cs="Segoe UI"/>
          <w:color w:val="000000" w:themeColor="text1"/>
          <w:sz w:val="24"/>
          <w:szCs w:val="24"/>
        </w:rPr>
        <w:t>DNNP and</w:t>
      </w:r>
      <w:r w:rsidR="00657BA0">
        <w:rPr>
          <w:rFonts w:ascii="Segoe UI" w:hAnsi="Segoe UI" w:cs="Segoe UI"/>
          <w:color w:val="000000" w:themeColor="text1"/>
          <w:sz w:val="24"/>
          <w:szCs w:val="24"/>
        </w:rPr>
        <w:t xml:space="preserve"> </w:t>
      </w:r>
      <w:r w:rsidR="009D7B56">
        <w:rPr>
          <w:rFonts w:ascii="Segoe UI" w:hAnsi="Segoe UI" w:cs="Segoe UI"/>
          <w:color w:val="000000" w:themeColor="text1"/>
          <w:sz w:val="24"/>
          <w:szCs w:val="24"/>
        </w:rPr>
        <w:t>provided a</w:t>
      </w:r>
      <w:r>
        <w:rPr>
          <w:rFonts w:ascii="Segoe UI" w:hAnsi="Segoe UI" w:cs="Segoe UI"/>
          <w:color w:val="000000" w:themeColor="text1"/>
          <w:sz w:val="24"/>
          <w:szCs w:val="24"/>
        </w:rPr>
        <w:t xml:space="preserve"> summary of OPG’s assessment of the applicability of the EA. Due to the volume of comments received, CNSC staff scheduled the workshop as a structured discussion, with participants organized into groups based on the theme</w:t>
      </w:r>
      <w:r w:rsidR="00657BA0">
        <w:rPr>
          <w:rFonts w:ascii="Segoe UI" w:hAnsi="Segoe UI" w:cs="Segoe UI"/>
          <w:color w:val="000000" w:themeColor="text1"/>
          <w:sz w:val="24"/>
          <w:szCs w:val="24"/>
        </w:rPr>
        <w:t>s</w:t>
      </w:r>
      <w:r>
        <w:rPr>
          <w:rFonts w:ascii="Segoe UI" w:hAnsi="Segoe UI" w:cs="Segoe UI"/>
          <w:color w:val="000000" w:themeColor="text1"/>
          <w:sz w:val="24"/>
          <w:szCs w:val="24"/>
        </w:rPr>
        <w:t xml:space="preserve"> of their submission</w:t>
      </w:r>
      <w:r w:rsidR="00657BA0">
        <w:rPr>
          <w:rFonts w:ascii="Segoe UI" w:hAnsi="Segoe UI" w:cs="Segoe UI"/>
          <w:color w:val="000000" w:themeColor="text1"/>
          <w:sz w:val="24"/>
          <w:szCs w:val="24"/>
        </w:rPr>
        <w:t>s</w:t>
      </w:r>
      <w:r>
        <w:rPr>
          <w:rFonts w:ascii="Segoe UI" w:hAnsi="Segoe UI" w:cs="Segoe UI"/>
          <w:color w:val="000000" w:themeColor="text1"/>
          <w:sz w:val="24"/>
          <w:szCs w:val="24"/>
        </w:rPr>
        <w:t xml:space="preserve">. However, participants </w:t>
      </w:r>
      <w:r w:rsidR="008E70AE">
        <w:rPr>
          <w:rFonts w:ascii="Segoe UI" w:hAnsi="Segoe UI" w:cs="Segoe UI"/>
          <w:color w:val="000000" w:themeColor="text1"/>
          <w:sz w:val="24"/>
          <w:szCs w:val="24"/>
        </w:rPr>
        <w:t>commented</w:t>
      </w:r>
      <w:r>
        <w:rPr>
          <w:rFonts w:ascii="Segoe UI" w:hAnsi="Segoe UI" w:cs="Segoe UI"/>
          <w:color w:val="000000" w:themeColor="text1"/>
          <w:sz w:val="24"/>
          <w:szCs w:val="24"/>
        </w:rPr>
        <w:t xml:space="preserve"> that the format </w:t>
      </w:r>
      <w:r w:rsidR="00657BA0">
        <w:rPr>
          <w:rFonts w:ascii="Segoe UI" w:hAnsi="Segoe UI" w:cs="Segoe UI"/>
          <w:color w:val="000000" w:themeColor="text1"/>
          <w:sz w:val="24"/>
          <w:szCs w:val="24"/>
        </w:rPr>
        <w:t>did not allow for</w:t>
      </w:r>
      <w:r w:rsidR="008E70AE">
        <w:rPr>
          <w:rFonts w:ascii="Segoe UI" w:hAnsi="Segoe UI" w:cs="Segoe UI"/>
          <w:color w:val="000000" w:themeColor="text1"/>
          <w:sz w:val="24"/>
          <w:szCs w:val="24"/>
        </w:rPr>
        <w:t xml:space="preserve"> full participation on all relevant topics</w:t>
      </w:r>
      <w:r w:rsidR="00AC2708">
        <w:rPr>
          <w:rFonts w:ascii="Segoe UI" w:hAnsi="Segoe UI" w:cs="Segoe UI"/>
          <w:color w:val="000000" w:themeColor="text1"/>
          <w:sz w:val="24"/>
          <w:szCs w:val="24"/>
        </w:rPr>
        <w:t xml:space="preserve">. </w:t>
      </w:r>
      <w:r w:rsidR="008E70AE">
        <w:rPr>
          <w:rFonts w:ascii="Segoe UI" w:hAnsi="Segoe UI" w:cs="Segoe UI"/>
          <w:color w:val="000000" w:themeColor="text1"/>
          <w:sz w:val="24"/>
          <w:szCs w:val="24"/>
        </w:rPr>
        <w:t xml:space="preserve">CNSC </w:t>
      </w:r>
      <w:r w:rsidR="009D7B56">
        <w:rPr>
          <w:rFonts w:ascii="Segoe UI" w:hAnsi="Segoe UI" w:cs="Segoe UI"/>
          <w:color w:val="000000" w:themeColor="text1"/>
          <w:sz w:val="24"/>
          <w:szCs w:val="24"/>
        </w:rPr>
        <w:t>staff accepted</w:t>
      </w:r>
      <w:r w:rsidR="008E70AE">
        <w:rPr>
          <w:rFonts w:ascii="Segoe UI" w:hAnsi="Segoe UI" w:cs="Segoe UI"/>
          <w:color w:val="000000" w:themeColor="text1"/>
          <w:sz w:val="24"/>
          <w:szCs w:val="24"/>
        </w:rPr>
        <w:t xml:space="preserve"> </w:t>
      </w:r>
      <w:r w:rsidR="00AC2708">
        <w:rPr>
          <w:rFonts w:ascii="Segoe UI" w:hAnsi="Segoe UI" w:cs="Segoe UI"/>
          <w:color w:val="000000" w:themeColor="text1"/>
          <w:sz w:val="24"/>
          <w:szCs w:val="24"/>
        </w:rPr>
        <w:t xml:space="preserve">and acted upon </w:t>
      </w:r>
      <w:r w:rsidR="008E70AE">
        <w:rPr>
          <w:rFonts w:ascii="Segoe UI" w:hAnsi="Segoe UI" w:cs="Segoe UI"/>
          <w:color w:val="000000" w:themeColor="text1"/>
          <w:sz w:val="24"/>
          <w:szCs w:val="24"/>
        </w:rPr>
        <w:t xml:space="preserve">the feedback and </w:t>
      </w:r>
      <w:r w:rsidR="00AC2708">
        <w:rPr>
          <w:rFonts w:ascii="Segoe UI" w:hAnsi="Segoe UI" w:cs="Segoe UI"/>
          <w:color w:val="000000" w:themeColor="text1"/>
          <w:sz w:val="24"/>
          <w:szCs w:val="24"/>
        </w:rPr>
        <w:t xml:space="preserve">adjusted the workshop </w:t>
      </w:r>
      <w:r w:rsidR="00657BA0">
        <w:rPr>
          <w:rFonts w:ascii="Segoe UI" w:hAnsi="Segoe UI" w:cs="Segoe UI"/>
          <w:color w:val="000000" w:themeColor="text1"/>
          <w:sz w:val="24"/>
          <w:szCs w:val="24"/>
        </w:rPr>
        <w:t xml:space="preserve">by eliminating the </w:t>
      </w:r>
      <w:r w:rsidR="009D7B56">
        <w:rPr>
          <w:rFonts w:ascii="Segoe UI" w:hAnsi="Segoe UI" w:cs="Segoe UI"/>
          <w:color w:val="000000" w:themeColor="text1"/>
          <w:sz w:val="24"/>
          <w:szCs w:val="24"/>
        </w:rPr>
        <w:t>breakout</w:t>
      </w:r>
      <w:r w:rsidR="00657BA0">
        <w:rPr>
          <w:rFonts w:ascii="Segoe UI" w:hAnsi="Segoe UI" w:cs="Segoe UI"/>
          <w:color w:val="000000" w:themeColor="text1"/>
          <w:sz w:val="24"/>
          <w:szCs w:val="24"/>
        </w:rPr>
        <w:t xml:space="preserve"> focus groups and having a full</w:t>
      </w:r>
      <w:r w:rsidR="008E70AE">
        <w:rPr>
          <w:rFonts w:ascii="Segoe UI" w:hAnsi="Segoe UI" w:cs="Segoe UI"/>
          <w:color w:val="000000" w:themeColor="text1"/>
          <w:sz w:val="24"/>
          <w:szCs w:val="24"/>
        </w:rPr>
        <w:t xml:space="preserve"> group discussion.</w:t>
      </w:r>
    </w:p>
    <w:p w14:paraId="3187B5B0" w14:textId="10546145" w:rsidR="008E70AE" w:rsidRDefault="008E70AE" w:rsidP="001F28A3">
      <w:pPr>
        <w:jc w:val="both"/>
        <w:rPr>
          <w:rFonts w:ascii="Segoe UI" w:hAnsi="Segoe UI" w:cs="Segoe UI"/>
          <w:color w:val="000000" w:themeColor="text1"/>
          <w:sz w:val="24"/>
          <w:szCs w:val="24"/>
        </w:rPr>
      </w:pPr>
      <w:r>
        <w:rPr>
          <w:rFonts w:ascii="Segoe UI" w:hAnsi="Segoe UI" w:cs="Segoe UI"/>
          <w:color w:val="000000" w:themeColor="text1"/>
          <w:sz w:val="24"/>
          <w:szCs w:val="24"/>
        </w:rPr>
        <w:t xml:space="preserve">Participants also commented on the difficulty in locating information relevant to the DNNP, as it is often spread across multiple government websites and is sometimes presented in an inaccessible manner. </w:t>
      </w:r>
      <w:r w:rsidR="00657BA0">
        <w:rPr>
          <w:rFonts w:ascii="Segoe UI" w:hAnsi="Segoe UI" w:cs="Segoe UI"/>
          <w:color w:val="000000" w:themeColor="text1"/>
          <w:sz w:val="24"/>
          <w:szCs w:val="24"/>
        </w:rPr>
        <w:t xml:space="preserve">The CNSC is committed to improving information availability and access. As </w:t>
      </w:r>
      <w:r w:rsidR="009D7B56">
        <w:rPr>
          <w:rFonts w:ascii="Segoe UI" w:hAnsi="Segoe UI" w:cs="Segoe UI"/>
          <w:color w:val="000000" w:themeColor="text1"/>
          <w:sz w:val="24"/>
          <w:szCs w:val="24"/>
        </w:rPr>
        <w:t>such, CNSC</w:t>
      </w:r>
      <w:r>
        <w:rPr>
          <w:rFonts w:ascii="Segoe UI" w:hAnsi="Segoe UI" w:cs="Segoe UI"/>
          <w:color w:val="000000" w:themeColor="text1"/>
          <w:sz w:val="24"/>
          <w:szCs w:val="24"/>
        </w:rPr>
        <w:t xml:space="preserve"> staff </w:t>
      </w:r>
      <w:r w:rsidR="00657BA0">
        <w:rPr>
          <w:rFonts w:ascii="Segoe UI" w:hAnsi="Segoe UI" w:cs="Segoe UI"/>
          <w:color w:val="000000" w:themeColor="text1"/>
          <w:sz w:val="24"/>
          <w:szCs w:val="24"/>
        </w:rPr>
        <w:t xml:space="preserve">have placed all </w:t>
      </w:r>
      <w:r>
        <w:rPr>
          <w:rFonts w:ascii="Segoe UI" w:hAnsi="Segoe UI" w:cs="Segoe UI"/>
          <w:color w:val="000000" w:themeColor="text1"/>
          <w:sz w:val="24"/>
          <w:szCs w:val="24"/>
        </w:rPr>
        <w:t>DNNP-specific information</w:t>
      </w:r>
      <w:r w:rsidR="00657BA0">
        <w:rPr>
          <w:rFonts w:ascii="Segoe UI" w:hAnsi="Segoe UI" w:cs="Segoe UI"/>
          <w:color w:val="000000" w:themeColor="text1"/>
          <w:sz w:val="24"/>
          <w:szCs w:val="24"/>
        </w:rPr>
        <w:t xml:space="preserve"> or links to OPG’s website, CEAA registry or other sources of DNNP information</w:t>
      </w:r>
      <w:r>
        <w:rPr>
          <w:rFonts w:ascii="Segoe UI" w:hAnsi="Segoe UI" w:cs="Segoe UI"/>
          <w:color w:val="000000" w:themeColor="text1"/>
          <w:sz w:val="24"/>
          <w:szCs w:val="24"/>
        </w:rPr>
        <w:t xml:space="preserve"> in a single location</w:t>
      </w:r>
      <w:r w:rsidR="00AC2708">
        <w:rPr>
          <w:rFonts w:ascii="Segoe UI" w:hAnsi="Segoe UI" w:cs="Segoe UI"/>
          <w:color w:val="000000" w:themeColor="text1"/>
          <w:sz w:val="24"/>
          <w:szCs w:val="24"/>
        </w:rPr>
        <w:t xml:space="preserve"> </w:t>
      </w:r>
      <w:r w:rsidR="00657BA0">
        <w:rPr>
          <w:rFonts w:ascii="Segoe UI" w:hAnsi="Segoe UI" w:cs="Segoe UI"/>
          <w:color w:val="000000" w:themeColor="text1"/>
          <w:sz w:val="24"/>
          <w:szCs w:val="24"/>
        </w:rPr>
        <w:t xml:space="preserve">on the </w:t>
      </w:r>
      <w:r>
        <w:rPr>
          <w:rFonts w:ascii="Segoe UI" w:hAnsi="Segoe UI" w:cs="Segoe UI"/>
          <w:color w:val="000000" w:themeColor="text1"/>
          <w:sz w:val="24"/>
          <w:szCs w:val="24"/>
        </w:rPr>
        <w:t>Open Government Portal website</w:t>
      </w:r>
      <w:r w:rsidR="003E33AB">
        <w:rPr>
          <w:rFonts w:ascii="Segoe UI" w:hAnsi="Segoe UI" w:cs="Segoe UI"/>
          <w:color w:val="000000" w:themeColor="text1"/>
          <w:sz w:val="24"/>
          <w:szCs w:val="24"/>
        </w:rPr>
        <w:t>.</w:t>
      </w:r>
    </w:p>
    <w:p w14:paraId="348509EF" w14:textId="07F9E8C3" w:rsidR="003E33AB" w:rsidRDefault="003E33AB" w:rsidP="001F28A3">
      <w:pPr>
        <w:jc w:val="both"/>
        <w:rPr>
          <w:lang w:val="en-US"/>
        </w:rPr>
      </w:pPr>
      <w:r>
        <w:rPr>
          <w:rFonts w:ascii="Segoe UI" w:hAnsi="Segoe UI" w:cs="Segoe UI"/>
          <w:color w:val="000000" w:themeColor="text1"/>
          <w:sz w:val="24"/>
          <w:szCs w:val="24"/>
        </w:rPr>
        <w:t xml:space="preserve">This report is a summary of the feedback and comments received from participants in the DNNP workshop, and staff will take all comments received into consideration for future Commission Member Documents (CMD) </w:t>
      </w:r>
      <w:r w:rsidR="00A04A96">
        <w:rPr>
          <w:rFonts w:ascii="Segoe UI" w:hAnsi="Segoe UI" w:cs="Segoe UI"/>
          <w:color w:val="000000" w:themeColor="text1"/>
          <w:sz w:val="24"/>
          <w:szCs w:val="24"/>
        </w:rPr>
        <w:t>and</w:t>
      </w:r>
      <w:r>
        <w:rPr>
          <w:rFonts w:ascii="Segoe UI" w:hAnsi="Segoe UI" w:cs="Segoe UI"/>
          <w:color w:val="000000" w:themeColor="text1"/>
          <w:sz w:val="24"/>
          <w:szCs w:val="24"/>
        </w:rPr>
        <w:t xml:space="preserve"> for ongoing engagement and outreach activities.</w:t>
      </w:r>
    </w:p>
    <w:p w14:paraId="697107A5" w14:textId="3FB487D7" w:rsidR="002352E7" w:rsidRPr="002352E7" w:rsidRDefault="002352E7" w:rsidP="002352E7">
      <w:pPr>
        <w:rPr>
          <w:lang w:val="en-US"/>
        </w:rPr>
      </w:pPr>
    </w:p>
    <w:p w14:paraId="4DE23567" w14:textId="77777777" w:rsidR="003E33AB" w:rsidRDefault="003E33AB">
      <w:pPr>
        <w:rPr>
          <w:rFonts w:ascii="Segoe UI" w:hAnsi="Segoe UI" w:cs="Segoe UI"/>
          <w:b/>
          <w:bCs/>
          <w:sz w:val="36"/>
          <w:szCs w:val="36"/>
          <w:lang w:val="en-US"/>
        </w:rPr>
      </w:pPr>
      <w:r>
        <w:rPr>
          <w:rFonts w:ascii="Segoe UI" w:hAnsi="Segoe UI" w:cs="Segoe UI"/>
          <w:b/>
          <w:bCs/>
          <w:sz w:val="36"/>
          <w:szCs w:val="36"/>
          <w:lang w:val="en-US"/>
        </w:rPr>
        <w:lastRenderedPageBreak/>
        <w:br w:type="page"/>
      </w:r>
    </w:p>
    <w:p w14:paraId="6E307360" w14:textId="1A190BB1" w:rsidR="00F95339" w:rsidRPr="00890ABC" w:rsidRDefault="00F95339" w:rsidP="00890ABC">
      <w:pPr>
        <w:rPr>
          <w:rFonts w:ascii="Segoe UI" w:hAnsi="Segoe UI" w:cs="Segoe UI"/>
          <w:b/>
          <w:bCs/>
          <w:sz w:val="36"/>
          <w:szCs w:val="36"/>
          <w:lang w:val="en-US"/>
        </w:rPr>
      </w:pPr>
      <w:r w:rsidRPr="00890ABC">
        <w:rPr>
          <w:rFonts w:ascii="Segoe UI" w:hAnsi="Segoe UI" w:cs="Segoe UI"/>
          <w:b/>
          <w:bCs/>
          <w:sz w:val="36"/>
          <w:szCs w:val="36"/>
          <w:lang w:val="en-US"/>
        </w:rPr>
        <w:lastRenderedPageBreak/>
        <w:t>Introduction</w:t>
      </w:r>
    </w:p>
    <w:p w14:paraId="0EAA5394" w14:textId="750FC277" w:rsidR="009E77DA" w:rsidRPr="009E77DA" w:rsidRDefault="009E77DA" w:rsidP="000F6A1D">
      <w:pPr>
        <w:spacing w:after="0"/>
        <w:jc w:val="both"/>
        <w:rPr>
          <w:rFonts w:ascii="Segoe UI" w:hAnsi="Segoe UI" w:cs="Segoe UI"/>
          <w:color w:val="000000" w:themeColor="text1"/>
          <w:sz w:val="28"/>
          <w:szCs w:val="28"/>
          <w:lang w:val="en-US"/>
        </w:rPr>
      </w:pPr>
      <w:r w:rsidRPr="009E77DA">
        <w:rPr>
          <w:rFonts w:ascii="Segoe UI" w:hAnsi="Segoe UI" w:cs="Segoe UI"/>
          <w:color w:val="000000" w:themeColor="text1"/>
          <w:sz w:val="24"/>
          <w:szCs w:val="24"/>
        </w:rPr>
        <w:t xml:space="preserve">The Canadian Nuclear Safety Commission (CNSC) regulates nuclear energy and materials to protect the health, safety, </w:t>
      </w:r>
      <w:r w:rsidR="004B2CAB" w:rsidRPr="009E77DA">
        <w:rPr>
          <w:rFonts w:ascii="Segoe UI" w:hAnsi="Segoe UI" w:cs="Segoe UI"/>
          <w:color w:val="000000" w:themeColor="text1"/>
          <w:sz w:val="24"/>
          <w:szCs w:val="24"/>
        </w:rPr>
        <w:t>security,</w:t>
      </w:r>
      <w:r w:rsidRPr="009E77DA">
        <w:rPr>
          <w:rFonts w:ascii="Segoe UI" w:hAnsi="Segoe UI" w:cs="Segoe UI"/>
          <w:color w:val="000000" w:themeColor="text1"/>
          <w:sz w:val="24"/>
          <w:szCs w:val="24"/>
        </w:rPr>
        <w:t xml:space="preserve"> and the environment in Canada. In doing so, the </w:t>
      </w:r>
      <w:r w:rsidR="008A3678">
        <w:rPr>
          <w:rFonts w:ascii="Segoe UI" w:hAnsi="Segoe UI" w:cs="Segoe UI"/>
          <w:color w:val="000000" w:themeColor="text1"/>
          <w:sz w:val="24"/>
          <w:szCs w:val="24"/>
        </w:rPr>
        <w:t xml:space="preserve">CNSC </w:t>
      </w:r>
      <w:r w:rsidRPr="009E77DA">
        <w:rPr>
          <w:rFonts w:ascii="Segoe UI" w:hAnsi="Segoe UI" w:cs="Segoe UI"/>
          <w:color w:val="000000" w:themeColor="text1"/>
          <w:sz w:val="24"/>
          <w:szCs w:val="24"/>
        </w:rPr>
        <w:t xml:space="preserve">aims to be recognized as a trusted regulator, and a credible source of scientific, </w:t>
      </w:r>
      <w:r w:rsidR="004B2CAB" w:rsidRPr="009E77DA">
        <w:rPr>
          <w:rFonts w:ascii="Segoe UI" w:hAnsi="Segoe UI" w:cs="Segoe UI"/>
          <w:color w:val="000000" w:themeColor="text1"/>
          <w:sz w:val="24"/>
          <w:szCs w:val="24"/>
        </w:rPr>
        <w:t>technical,</w:t>
      </w:r>
      <w:r w:rsidRPr="009E77DA">
        <w:rPr>
          <w:rFonts w:ascii="Segoe UI" w:hAnsi="Segoe UI" w:cs="Segoe UI"/>
          <w:color w:val="000000" w:themeColor="text1"/>
          <w:sz w:val="24"/>
          <w:szCs w:val="24"/>
        </w:rPr>
        <w:t xml:space="preserve"> and regulatory information. To </w:t>
      </w:r>
      <w:r w:rsidR="004736E9">
        <w:rPr>
          <w:rFonts w:ascii="Segoe UI" w:hAnsi="Segoe UI" w:cs="Segoe UI"/>
          <w:color w:val="000000" w:themeColor="text1"/>
          <w:sz w:val="24"/>
          <w:szCs w:val="24"/>
        </w:rPr>
        <w:t xml:space="preserve">achieve </w:t>
      </w:r>
      <w:r w:rsidRPr="009E77DA">
        <w:rPr>
          <w:rFonts w:ascii="Segoe UI" w:hAnsi="Segoe UI" w:cs="Segoe UI"/>
          <w:color w:val="000000" w:themeColor="text1"/>
          <w:sz w:val="24"/>
          <w:szCs w:val="24"/>
        </w:rPr>
        <w:t xml:space="preserve">this, the CNSC </w:t>
      </w:r>
      <w:r w:rsidR="00BE59F8">
        <w:rPr>
          <w:rFonts w:ascii="Segoe UI" w:hAnsi="Segoe UI" w:cs="Segoe UI"/>
          <w:color w:val="000000" w:themeColor="text1"/>
          <w:sz w:val="24"/>
          <w:szCs w:val="24"/>
        </w:rPr>
        <w:t>undertakes a</w:t>
      </w:r>
      <w:r w:rsidRPr="009E77DA">
        <w:rPr>
          <w:rFonts w:ascii="Segoe UI" w:hAnsi="Segoe UI" w:cs="Segoe UI"/>
          <w:color w:val="000000" w:themeColor="text1"/>
          <w:sz w:val="24"/>
          <w:szCs w:val="24"/>
        </w:rPr>
        <w:t xml:space="preserve"> variety of activities, including,</w:t>
      </w:r>
      <w:r w:rsidR="00BE59F8">
        <w:rPr>
          <w:rFonts w:ascii="Segoe UI" w:hAnsi="Segoe UI" w:cs="Segoe UI"/>
          <w:color w:val="000000" w:themeColor="text1"/>
          <w:sz w:val="24"/>
          <w:szCs w:val="24"/>
        </w:rPr>
        <w:t xml:space="preserve"> hosting</w:t>
      </w:r>
      <w:r w:rsidRPr="009E77DA">
        <w:rPr>
          <w:rFonts w:ascii="Segoe UI" w:hAnsi="Segoe UI" w:cs="Segoe UI"/>
          <w:color w:val="000000" w:themeColor="text1"/>
          <w:sz w:val="24"/>
          <w:szCs w:val="24"/>
        </w:rPr>
        <w:t xml:space="preserve"> </w:t>
      </w:r>
      <w:r w:rsidR="004736E9">
        <w:rPr>
          <w:rFonts w:ascii="Segoe UI" w:hAnsi="Segoe UI" w:cs="Segoe UI"/>
          <w:color w:val="000000" w:themeColor="text1"/>
          <w:sz w:val="24"/>
          <w:szCs w:val="24"/>
        </w:rPr>
        <w:t>M</w:t>
      </w:r>
      <w:r w:rsidRPr="009E77DA">
        <w:rPr>
          <w:rFonts w:ascii="Segoe UI" w:hAnsi="Segoe UI" w:cs="Segoe UI"/>
          <w:color w:val="000000" w:themeColor="text1"/>
          <w:sz w:val="24"/>
          <w:szCs w:val="24"/>
        </w:rPr>
        <w:t xml:space="preserve">eet the </w:t>
      </w:r>
      <w:r w:rsidR="004736E9">
        <w:rPr>
          <w:rFonts w:ascii="Segoe UI" w:hAnsi="Segoe UI" w:cs="Segoe UI"/>
          <w:color w:val="000000" w:themeColor="text1"/>
          <w:sz w:val="24"/>
          <w:szCs w:val="24"/>
        </w:rPr>
        <w:t>N</w:t>
      </w:r>
      <w:r w:rsidR="004B2CAB">
        <w:rPr>
          <w:rFonts w:ascii="Segoe UI" w:hAnsi="Segoe UI" w:cs="Segoe UI"/>
          <w:color w:val="000000" w:themeColor="text1"/>
          <w:sz w:val="24"/>
          <w:szCs w:val="24"/>
        </w:rPr>
        <w:t xml:space="preserve">uclear </w:t>
      </w:r>
      <w:r w:rsidR="004736E9">
        <w:rPr>
          <w:rFonts w:ascii="Segoe UI" w:hAnsi="Segoe UI" w:cs="Segoe UI"/>
          <w:color w:val="000000" w:themeColor="text1"/>
          <w:sz w:val="24"/>
          <w:szCs w:val="24"/>
        </w:rPr>
        <w:t>R</w:t>
      </w:r>
      <w:r w:rsidRPr="009E77DA">
        <w:rPr>
          <w:rFonts w:ascii="Segoe UI" w:hAnsi="Segoe UI" w:cs="Segoe UI"/>
          <w:color w:val="000000" w:themeColor="text1"/>
          <w:sz w:val="24"/>
          <w:szCs w:val="24"/>
        </w:rPr>
        <w:t xml:space="preserve">egulator sessions, </w:t>
      </w:r>
      <w:r w:rsidR="00E85AF3">
        <w:rPr>
          <w:rFonts w:ascii="Segoe UI" w:hAnsi="Segoe UI" w:cs="Segoe UI"/>
          <w:color w:val="000000" w:themeColor="text1"/>
          <w:sz w:val="24"/>
          <w:szCs w:val="24"/>
        </w:rPr>
        <w:t xml:space="preserve">engaging </w:t>
      </w:r>
      <w:r w:rsidRPr="009E77DA">
        <w:rPr>
          <w:rFonts w:ascii="Segoe UI" w:hAnsi="Segoe UI" w:cs="Segoe UI"/>
          <w:color w:val="000000" w:themeColor="text1"/>
          <w:sz w:val="24"/>
          <w:szCs w:val="24"/>
        </w:rPr>
        <w:t>municipalities and local organizations,</w:t>
      </w:r>
      <w:r w:rsidR="00725959" w:rsidRPr="00725959">
        <w:rPr>
          <w:rFonts w:ascii="Segoe UI" w:hAnsi="Segoe UI" w:cs="Segoe UI"/>
          <w:color w:val="000000" w:themeColor="text1"/>
          <w:sz w:val="24"/>
          <w:szCs w:val="24"/>
        </w:rPr>
        <w:t xml:space="preserve"> </w:t>
      </w:r>
      <w:r w:rsidR="00BE59F8">
        <w:rPr>
          <w:rFonts w:ascii="Segoe UI" w:hAnsi="Segoe UI" w:cs="Segoe UI"/>
          <w:color w:val="000000" w:themeColor="text1"/>
          <w:sz w:val="24"/>
          <w:szCs w:val="24"/>
        </w:rPr>
        <w:t xml:space="preserve">developing </w:t>
      </w:r>
      <w:r w:rsidR="00725959">
        <w:rPr>
          <w:rFonts w:ascii="Segoe UI" w:hAnsi="Segoe UI" w:cs="Segoe UI"/>
          <w:color w:val="000000" w:themeColor="text1"/>
          <w:sz w:val="24"/>
          <w:szCs w:val="24"/>
        </w:rPr>
        <w:t>Terms of Reference for long-term engagement with interested Indigenous Nations and communities</w:t>
      </w:r>
      <w:r w:rsidR="00BE59F8">
        <w:rPr>
          <w:rFonts w:ascii="Segoe UI" w:hAnsi="Segoe UI" w:cs="Segoe UI"/>
          <w:color w:val="000000" w:themeColor="text1"/>
          <w:sz w:val="24"/>
          <w:szCs w:val="24"/>
        </w:rPr>
        <w:t>,</w:t>
      </w:r>
      <w:r w:rsidRPr="009E77DA">
        <w:rPr>
          <w:rFonts w:ascii="Segoe UI" w:hAnsi="Segoe UI" w:cs="Segoe UI"/>
          <w:color w:val="000000" w:themeColor="text1"/>
          <w:sz w:val="24"/>
          <w:szCs w:val="24"/>
        </w:rPr>
        <w:t xml:space="preserve"> as well as workshops </w:t>
      </w:r>
      <w:r w:rsidR="004736E9">
        <w:rPr>
          <w:rFonts w:ascii="Segoe UI" w:hAnsi="Segoe UI" w:cs="Segoe UI"/>
          <w:color w:val="000000" w:themeColor="text1"/>
          <w:sz w:val="24"/>
          <w:szCs w:val="24"/>
        </w:rPr>
        <w:t xml:space="preserve">to </w:t>
      </w:r>
      <w:r w:rsidR="003B1A5C">
        <w:rPr>
          <w:rFonts w:ascii="Segoe UI" w:hAnsi="Segoe UI" w:cs="Segoe UI"/>
          <w:color w:val="000000" w:themeColor="text1"/>
          <w:sz w:val="24"/>
          <w:szCs w:val="24"/>
        </w:rPr>
        <w:t>inform</w:t>
      </w:r>
      <w:r w:rsidR="00EB291E">
        <w:rPr>
          <w:rFonts w:ascii="Segoe UI" w:hAnsi="Segoe UI" w:cs="Segoe UI"/>
          <w:color w:val="000000" w:themeColor="text1"/>
          <w:sz w:val="24"/>
          <w:szCs w:val="24"/>
        </w:rPr>
        <w:t xml:space="preserve"> and discuss concerns</w:t>
      </w:r>
      <w:r w:rsidR="003B1A5C">
        <w:rPr>
          <w:rFonts w:ascii="Segoe UI" w:hAnsi="Segoe UI" w:cs="Segoe UI"/>
          <w:color w:val="000000" w:themeColor="text1"/>
          <w:sz w:val="24"/>
          <w:szCs w:val="24"/>
        </w:rPr>
        <w:t xml:space="preserve"> </w:t>
      </w:r>
      <w:r w:rsidR="00BE59F8">
        <w:rPr>
          <w:rFonts w:ascii="Segoe UI" w:hAnsi="Segoe UI" w:cs="Segoe UI"/>
          <w:color w:val="000000" w:themeColor="text1"/>
          <w:sz w:val="24"/>
          <w:szCs w:val="24"/>
        </w:rPr>
        <w:t>about</w:t>
      </w:r>
      <w:r w:rsidR="003B1A5C" w:rsidRPr="009E77DA">
        <w:rPr>
          <w:rFonts w:ascii="Segoe UI" w:hAnsi="Segoe UI" w:cs="Segoe UI"/>
          <w:color w:val="000000" w:themeColor="text1"/>
          <w:sz w:val="24"/>
          <w:szCs w:val="24"/>
        </w:rPr>
        <w:t xml:space="preserve"> </w:t>
      </w:r>
      <w:r w:rsidRPr="009E77DA">
        <w:rPr>
          <w:rFonts w:ascii="Segoe UI" w:hAnsi="Segoe UI" w:cs="Segoe UI"/>
          <w:color w:val="000000" w:themeColor="text1"/>
          <w:sz w:val="24"/>
          <w:szCs w:val="24"/>
        </w:rPr>
        <w:t>potential nuclear projects.</w:t>
      </w:r>
    </w:p>
    <w:p w14:paraId="533E4ECD" w14:textId="77777777" w:rsidR="009E77DA" w:rsidRDefault="009E77DA" w:rsidP="000F6A1D">
      <w:pPr>
        <w:spacing w:after="0"/>
        <w:jc w:val="both"/>
        <w:rPr>
          <w:rFonts w:ascii="Segoe UI" w:hAnsi="Segoe UI" w:cs="Segoe UI"/>
          <w:sz w:val="24"/>
          <w:szCs w:val="24"/>
          <w:lang w:val="en-US"/>
        </w:rPr>
      </w:pPr>
    </w:p>
    <w:p w14:paraId="63069529" w14:textId="4CA1DFF4" w:rsidR="00F95339" w:rsidRDefault="00F95339" w:rsidP="000F6A1D">
      <w:pPr>
        <w:spacing w:after="0"/>
        <w:jc w:val="both"/>
        <w:rPr>
          <w:rFonts w:ascii="Segoe UI" w:hAnsi="Segoe UI" w:cs="Segoe UI"/>
          <w:sz w:val="24"/>
          <w:szCs w:val="24"/>
        </w:rPr>
      </w:pPr>
      <w:r w:rsidRPr="00F95339">
        <w:rPr>
          <w:rFonts w:ascii="Segoe UI" w:hAnsi="Segoe UI" w:cs="Segoe UI"/>
          <w:sz w:val="24"/>
          <w:szCs w:val="24"/>
          <w:lang w:val="en-US"/>
        </w:rPr>
        <w:t>On April 4</w:t>
      </w:r>
      <w:r w:rsidRPr="00F95339">
        <w:rPr>
          <w:rFonts w:ascii="Segoe UI" w:hAnsi="Segoe UI" w:cs="Segoe UI"/>
          <w:sz w:val="24"/>
          <w:szCs w:val="24"/>
          <w:vertAlign w:val="superscript"/>
          <w:lang w:val="en-US"/>
        </w:rPr>
        <w:t>th</w:t>
      </w:r>
      <w:r w:rsidRPr="00F95339">
        <w:rPr>
          <w:rFonts w:ascii="Segoe UI" w:hAnsi="Segoe UI" w:cs="Segoe UI"/>
          <w:sz w:val="24"/>
          <w:szCs w:val="24"/>
          <w:lang w:val="en-US"/>
        </w:rPr>
        <w:t xml:space="preserve">, 2023 the </w:t>
      </w:r>
      <w:r w:rsidR="009E77DA">
        <w:rPr>
          <w:rFonts w:ascii="Segoe UI" w:hAnsi="Segoe UI" w:cs="Segoe UI"/>
          <w:sz w:val="24"/>
          <w:szCs w:val="24"/>
          <w:lang w:val="en-US"/>
        </w:rPr>
        <w:t>CNSC</w:t>
      </w:r>
      <w:r w:rsidRPr="00F95339">
        <w:rPr>
          <w:rFonts w:ascii="Segoe UI" w:hAnsi="Segoe UI" w:cs="Segoe UI"/>
          <w:sz w:val="24"/>
          <w:szCs w:val="24"/>
          <w:lang w:val="en-US"/>
        </w:rPr>
        <w:t xml:space="preserve"> hosted a workshop with members of the public, Indigenous Nations and communities, </w:t>
      </w:r>
      <w:r w:rsidR="00C01B76">
        <w:rPr>
          <w:rFonts w:ascii="Segoe UI" w:hAnsi="Segoe UI" w:cs="Segoe UI"/>
          <w:sz w:val="24"/>
          <w:szCs w:val="24"/>
          <w:lang w:val="en-US"/>
        </w:rPr>
        <w:t xml:space="preserve">civil society and </w:t>
      </w:r>
      <w:r w:rsidR="009C618B">
        <w:rPr>
          <w:rFonts w:ascii="Segoe UI" w:hAnsi="Segoe UI" w:cs="Segoe UI"/>
          <w:sz w:val="24"/>
          <w:szCs w:val="24"/>
          <w:lang w:val="en-US"/>
        </w:rPr>
        <w:t xml:space="preserve">environmental non-governmental organizations </w:t>
      </w:r>
      <w:r w:rsidRPr="00F95339">
        <w:rPr>
          <w:rFonts w:ascii="Segoe UI" w:hAnsi="Segoe UI" w:cs="Segoe UI"/>
          <w:sz w:val="24"/>
          <w:szCs w:val="24"/>
          <w:lang w:val="en-US"/>
        </w:rPr>
        <w:t xml:space="preserve">to discuss </w:t>
      </w:r>
      <w:r w:rsidR="00223ABB">
        <w:rPr>
          <w:rFonts w:ascii="Segoe UI" w:hAnsi="Segoe UI" w:cs="Segoe UI"/>
          <w:sz w:val="24"/>
          <w:szCs w:val="24"/>
          <w:lang w:val="en-US"/>
        </w:rPr>
        <w:t xml:space="preserve">two </w:t>
      </w:r>
      <w:r w:rsidR="008A3678">
        <w:rPr>
          <w:rFonts w:ascii="Segoe UI" w:hAnsi="Segoe UI" w:cs="Segoe UI"/>
          <w:sz w:val="24"/>
          <w:szCs w:val="24"/>
          <w:lang w:val="en-US"/>
        </w:rPr>
        <w:t xml:space="preserve">key documents submitted as part of </w:t>
      </w:r>
      <w:hyperlink r:id="rId8" w:history="1">
        <w:r w:rsidRPr="00E557B7">
          <w:rPr>
            <w:rStyle w:val="Hyperlink"/>
            <w:rFonts w:ascii="Segoe UI" w:hAnsi="Segoe UI" w:cs="Segoe UI"/>
            <w:sz w:val="24"/>
            <w:szCs w:val="24"/>
          </w:rPr>
          <w:t>O</w:t>
        </w:r>
        <w:r w:rsidR="00E557B7" w:rsidRPr="00E557B7">
          <w:rPr>
            <w:rStyle w:val="Hyperlink"/>
            <w:rFonts w:ascii="Segoe UI" w:hAnsi="Segoe UI" w:cs="Segoe UI"/>
            <w:sz w:val="24"/>
            <w:szCs w:val="24"/>
          </w:rPr>
          <w:t xml:space="preserve">ntario </w:t>
        </w:r>
        <w:r w:rsidRPr="00E557B7">
          <w:rPr>
            <w:rStyle w:val="Hyperlink"/>
            <w:rFonts w:ascii="Segoe UI" w:hAnsi="Segoe UI" w:cs="Segoe UI"/>
            <w:sz w:val="24"/>
            <w:szCs w:val="24"/>
          </w:rPr>
          <w:t>P</w:t>
        </w:r>
        <w:r w:rsidR="00E557B7" w:rsidRPr="00E557B7">
          <w:rPr>
            <w:rStyle w:val="Hyperlink"/>
            <w:rFonts w:ascii="Segoe UI" w:hAnsi="Segoe UI" w:cs="Segoe UI"/>
            <w:sz w:val="24"/>
            <w:szCs w:val="24"/>
          </w:rPr>
          <w:t xml:space="preserve">ower </w:t>
        </w:r>
        <w:r w:rsidRPr="00E557B7">
          <w:rPr>
            <w:rStyle w:val="Hyperlink"/>
            <w:rFonts w:ascii="Segoe UI" w:hAnsi="Segoe UI" w:cs="Segoe UI"/>
            <w:sz w:val="24"/>
            <w:szCs w:val="24"/>
          </w:rPr>
          <w:t>G</w:t>
        </w:r>
        <w:r w:rsidR="00E557B7" w:rsidRPr="00E557B7">
          <w:rPr>
            <w:rStyle w:val="Hyperlink"/>
            <w:rFonts w:ascii="Segoe UI" w:hAnsi="Segoe UI" w:cs="Segoe UI"/>
            <w:sz w:val="24"/>
            <w:szCs w:val="24"/>
          </w:rPr>
          <w:t>eneration</w:t>
        </w:r>
        <w:r w:rsidRPr="00E557B7">
          <w:rPr>
            <w:rStyle w:val="Hyperlink"/>
            <w:rFonts w:ascii="Segoe UI" w:hAnsi="Segoe UI" w:cs="Segoe UI"/>
            <w:sz w:val="24"/>
            <w:szCs w:val="24"/>
          </w:rPr>
          <w:t>’s</w:t>
        </w:r>
        <w:r w:rsidR="00E557B7" w:rsidRPr="00E557B7">
          <w:rPr>
            <w:rStyle w:val="Hyperlink"/>
            <w:rFonts w:ascii="Segoe UI" w:hAnsi="Segoe UI" w:cs="Segoe UI"/>
            <w:sz w:val="24"/>
            <w:szCs w:val="24"/>
          </w:rPr>
          <w:t xml:space="preserve"> (OPG) Darlington New Nuclear Project</w:t>
        </w:r>
        <w:r w:rsidRPr="00E557B7">
          <w:rPr>
            <w:rStyle w:val="Hyperlink"/>
            <w:rFonts w:ascii="Segoe UI" w:hAnsi="Segoe UI" w:cs="Segoe UI"/>
            <w:sz w:val="24"/>
            <w:szCs w:val="24"/>
          </w:rPr>
          <w:t xml:space="preserve"> </w:t>
        </w:r>
        <w:r w:rsidR="00E557B7" w:rsidRPr="00E557B7">
          <w:rPr>
            <w:rStyle w:val="Hyperlink"/>
            <w:rFonts w:ascii="Segoe UI" w:hAnsi="Segoe UI" w:cs="Segoe UI"/>
            <w:sz w:val="24"/>
            <w:szCs w:val="24"/>
          </w:rPr>
          <w:t>(</w:t>
        </w:r>
        <w:r w:rsidRPr="00E557B7">
          <w:rPr>
            <w:rStyle w:val="Hyperlink"/>
            <w:rFonts w:ascii="Segoe UI" w:hAnsi="Segoe UI" w:cs="Segoe UI"/>
            <w:sz w:val="24"/>
            <w:szCs w:val="24"/>
          </w:rPr>
          <w:t>DNNP</w:t>
        </w:r>
        <w:r w:rsidR="00E557B7" w:rsidRPr="00E557B7">
          <w:rPr>
            <w:rStyle w:val="Hyperlink"/>
            <w:rFonts w:ascii="Segoe UI" w:hAnsi="Segoe UI" w:cs="Segoe UI"/>
            <w:sz w:val="24"/>
            <w:szCs w:val="24"/>
          </w:rPr>
          <w:t>)</w:t>
        </w:r>
      </w:hyperlink>
      <w:r w:rsidRPr="00F95339">
        <w:rPr>
          <w:rFonts w:ascii="Segoe UI" w:hAnsi="Segoe UI" w:cs="Segoe UI"/>
          <w:sz w:val="24"/>
          <w:szCs w:val="24"/>
        </w:rPr>
        <w:t xml:space="preserve"> Licence to Construct application</w:t>
      </w:r>
      <w:r w:rsidR="00223ABB">
        <w:rPr>
          <w:rFonts w:ascii="Segoe UI" w:hAnsi="Segoe UI" w:cs="Segoe UI"/>
          <w:sz w:val="24"/>
          <w:szCs w:val="24"/>
        </w:rPr>
        <w:t xml:space="preserve">: 1) the </w:t>
      </w:r>
      <w:r w:rsidRPr="00223ABB">
        <w:rPr>
          <w:rFonts w:ascii="Segoe UI" w:hAnsi="Segoe UI" w:cs="Segoe UI"/>
          <w:sz w:val="24"/>
          <w:szCs w:val="24"/>
        </w:rPr>
        <w:t>Updated Plant Parameter Envelope Report</w:t>
      </w:r>
      <w:r w:rsidR="00223ABB">
        <w:rPr>
          <w:rFonts w:ascii="Segoe UI" w:hAnsi="Segoe UI" w:cs="Segoe UI"/>
          <w:sz w:val="24"/>
          <w:szCs w:val="24"/>
        </w:rPr>
        <w:t xml:space="preserve">, and; 2) the </w:t>
      </w:r>
      <w:r w:rsidRPr="00223ABB">
        <w:rPr>
          <w:rFonts w:ascii="Segoe UI" w:hAnsi="Segoe UI" w:cs="Segoe UI"/>
          <w:sz w:val="24"/>
          <w:szCs w:val="24"/>
        </w:rPr>
        <w:t>Environmental Impact Statement Review Report</w:t>
      </w:r>
      <w:r w:rsidR="00223ABB">
        <w:rPr>
          <w:rFonts w:ascii="Segoe UI" w:hAnsi="Segoe UI" w:cs="Segoe UI"/>
          <w:sz w:val="24"/>
          <w:szCs w:val="24"/>
        </w:rPr>
        <w:t xml:space="preserve">. </w:t>
      </w:r>
      <w:r w:rsidRPr="00F95339">
        <w:rPr>
          <w:rFonts w:ascii="Segoe UI" w:hAnsi="Segoe UI" w:cs="Segoe UI"/>
          <w:sz w:val="24"/>
          <w:szCs w:val="24"/>
        </w:rPr>
        <w:t xml:space="preserve">These documents were submitted by </w:t>
      </w:r>
      <w:r>
        <w:rPr>
          <w:rFonts w:ascii="Segoe UI" w:hAnsi="Segoe UI" w:cs="Segoe UI"/>
          <w:sz w:val="24"/>
          <w:szCs w:val="24"/>
        </w:rPr>
        <w:t>OPG</w:t>
      </w:r>
      <w:r w:rsidR="00E557B7">
        <w:rPr>
          <w:rFonts w:ascii="Segoe UI" w:hAnsi="Segoe UI" w:cs="Segoe UI"/>
          <w:sz w:val="24"/>
          <w:szCs w:val="24"/>
        </w:rPr>
        <w:t xml:space="preserve"> </w:t>
      </w:r>
      <w:r w:rsidRPr="00F95339">
        <w:rPr>
          <w:rFonts w:ascii="Segoe UI" w:hAnsi="Segoe UI" w:cs="Segoe UI"/>
          <w:sz w:val="24"/>
          <w:szCs w:val="24"/>
        </w:rPr>
        <w:t xml:space="preserve">to </w:t>
      </w:r>
      <w:r>
        <w:rPr>
          <w:rFonts w:ascii="Segoe UI" w:hAnsi="Segoe UI" w:cs="Segoe UI"/>
          <w:sz w:val="24"/>
          <w:szCs w:val="24"/>
        </w:rPr>
        <w:t xml:space="preserve">the </w:t>
      </w:r>
      <w:r w:rsidRPr="00F95339">
        <w:rPr>
          <w:rFonts w:ascii="Segoe UI" w:hAnsi="Segoe UI" w:cs="Segoe UI"/>
          <w:sz w:val="24"/>
          <w:szCs w:val="24"/>
        </w:rPr>
        <w:t xml:space="preserve">CNSC to demonstrate that the </w:t>
      </w:r>
      <w:r w:rsidR="004736E9">
        <w:rPr>
          <w:rFonts w:ascii="Segoe UI" w:hAnsi="Segoe UI" w:cs="Segoe UI"/>
          <w:sz w:val="24"/>
          <w:szCs w:val="24"/>
        </w:rPr>
        <w:t xml:space="preserve">selected technology, the </w:t>
      </w:r>
      <w:r>
        <w:rPr>
          <w:rFonts w:ascii="Segoe UI" w:hAnsi="Segoe UI" w:cs="Segoe UI"/>
          <w:sz w:val="24"/>
          <w:szCs w:val="24"/>
        </w:rPr>
        <w:t>GE</w:t>
      </w:r>
      <w:r w:rsidR="008A3678">
        <w:rPr>
          <w:rFonts w:ascii="Segoe UI" w:hAnsi="Segoe UI" w:cs="Segoe UI"/>
          <w:sz w:val="24"/>
          <w:szCs w:val="24"/>
        </w:rPr>
        <w:t>-</w:t>
      </w:r>
      <w:r w:rsidRPr="00F95339">
        <w:rPr>
          <w:rFonts w:ascii="Segoe UI" w:hAnsi="Segoe UI" w:cs="Segoe UI"/>
          <w:sz w:val="24"/>
          <w:szCs w:val="24"/>
        </w:rPr>
        <w:t>Hitachi BWRX-300</w:t>
      </w:r>
      <w:r w:rsidR="007F0D4B">
        <w:rPr>
          <w:rFonts w:ascii="Segoe UI" w:hAnsi="Segoe UI" w:cs="Segoe UI"/>
          <w:sz w:val="24"/>
          <w:szCs w:val="24"/>
        </w:rPr>
        <w:t>,</w:t>
      </w:r>
      <w:r w:rsidRPr="00F95339">
        <w:rPr>
          <w:rFonts w:ascii="Segoe UI" w:hAnsi="Segoe UI" w:cs="Segoe UI"/>
          <w:sz w:val="24"/>
          <w:szCs w:val="24"/>
        </w:rPr>
        <w:t xml:space="preserve"> remains within the bounds of the </w:t>
      </w:r>
      <w:r w:rsidR="008A3678">
        <w:rPr>
          <w:rFonts w:ascii="Segoe UI" w:hAnsi="Segoe UI" w:cs="Segoe UI"/>
          <w:sz w:val="24"/>
          <w:szCs w:val="24"/>
        </w:rPr>
        <w:t xml:space="preserve">previously </w:t>
      </w:r>
      <w:r w:rsidRPr="00F95339">
        <w:rPr>
          <w:rFonts w:ascii="Segoe UI" w:hAnsi="Segoe UI" w:cs="Segoe UI"/>
          <w:sz w:val="24"/>
          <w:szCs w:val="24"/>
        </w:rPr>
        <w:t xml:space="preserve">approved </w:t>
      </w:r>
      <w:r w:rsidR="0015439E">
        <w:rPr>
          <w:rFonts w:ascii="Segoe UI" w:hAnsi="Segoe UI" w:cs="Segoe UI"/>
          <w:sz w:val="24"/>
          <w:szCs w:val="24"/>
        </w:rPr>
        <w:t xml:space="preserve">2012 </w:t>
      </w:r>
      <w:r w:rsidRPr="00F95339">
        <w:rPr>
          <w:rFonts w:ascii="Segoe UI" w:hAnsi="Segoe UI" w:cs="Segoe UI"/>
          <w:sz w:val="24"/>
          <w:szCs w:val="24"/>
        </w:rPr>
        <w:t xml:space="preserve">environmental assessment. </w:t>
      </w:r>
    </w:p>
    <w:p w14:paraId="0E41EF2E" w14:textId="77777777" w:rsidR="00F95339" w:rsidRDefault="00F95339" w:rsidP="000F6A1D">
      <w:pPr>
        <w:spacing w:after="0"/>
        <w:jc w:val="both"/>
        <w:rPr>
          <w:rFonts w:ascii="Segoe UI" w:hAnsi="Segoe UI" w:cs="Segoe UI"/>
          <w:sz w:val="24"/>
          <w:szCs w:val="24"/>
        </w:rPr>
      </w:pPr>
    </w:p>
    <w:p w14:paraId="57667F3C" w14:textId="1E23CE05" w:rsidR="00F95339" w:rsidRDefault="00F95339" w:rsidP="000F6A1D">
      <w:pPr>
        <w:spacing w:after="0"/>
        <w:jc w:val="both"/>
        <w:rPr>
          <w:rFonts w:ascii="Segoe UI" w:hAnsi="Segoe UI" w:cs="Segoe UI"/>
          <w:sz w:val="24"/>
          <w:szCs w:val="24"/>
        </w:rPr>
      </w:pPr>
      <w:r w:rsidRPr="00F95339">
        <w:rPr>
          <w:rFonts w:ascii="Segoe UI" w:hAnsi="Segoe UI" w:cs="Segoe UI"/>
          <w:sz w:val="24"/>
          <w:szCs w:val="24"/>
        </w:rPr>
        <w:t xml:space="preserve">The workshop </w:t>
      </w:r>
      <w:r w:rsidR="008A3678">
        <w:rPr>
          <w:rFonts w:ascii="Segoe UI" w:hAnsi="Segoe UI" w:cs="Segoe UI"/>
          <w:sz w:val="24"/>
          <w:szCs w:val="24"/>
        </w:rPr>
        <w:t xml:space="preserve">was an opportunity </w:t>
      </w:r>
      <w:r w:rsidRPr="00F95339">
        <w:rPr>
          <w:rFonts w:ascii="Segoe UI" w:hAnsi="Segoe UI" w:cs="Segoe UI"/>
          <w:sz w:val="24"/>
          <w:szCs w:val="24"/>
        </w:rPr>
        <w:t xml:space="preserve">to discuss comments received on these documents. </w:t>
      </w:r>
      <w:r w:rsidR="00836148">
        <w:rPr>
          <w:rFonts w:ascii="Segoe UI" w:hAnsi="Segoe UI" w:cs="Segoe UI"/>
          <w:sz w:val="24"/>
          <w:szCs w:val="24"/>
        </w:rPr>
        <w:t xml:space="preserve">These comments were </w:t>
      </w:r>
      <w:r w:rsidRPr="00F95339">
        <w:rPr>
          <w:rFonts w:ascii="Segoe UI" w:hAnsi="Segoe UI" w:cs="Segoe UI"/>
          <w:sz w:val="24"/>
          <w:szCs w:val="24"/>
        </w:rPr>
        <w:t xml:space="preserve">received </w:t>
      </w:r>
      <w:r w:rsidR="00836148">
        <w:rPr>
          <w:rFonts w:ascii="Segoe UI" w:hAnsi="Segoe UI" w:cs="Segoe UI"/>
          <w:sz w:val="24"/>
          <w:szCs w:val="24"/>
        </w:rPr>
        <w:t xml:space="preserve">via e-mail or the </w:t>
      </w:r>
      <w:r w:rsidR="00836148" w:rsidRPr="001C086E">
        <w:rPr>
          <w:rFonts w:ascii="Segoe UI" w:hAnsi="Segoe UI" w:cs="Segoe UI"/>
          <w:i/>
          <w:iCs/>
          <w:sz w:val="24"/>
          <w:szCs w:val="24"/>
        </w:rPr>
        <w:t>Let’s Talk Nuclear Safety</w:t>
      </w:r>
      <w:r w:rsidR="00836148">
        <w:rPr>
          <w:rFonts w:ascii="Segoe UI" w:hAnsi="Segoe UI" w:cs="Segoe UI"/>
          <w:sz w:val="24"/>
          <w:szCs w:val="24"/>
        </w:rPr>
        <w:t xml:space="preserve"> consultation platform and </w:t>
      </w:r>
      <w:r>
        <w:rPr>
          <w:rFonts w:ascii="Segoe UI" w:hAnsi="Segoe UI" w:cs="Segoe UI"/>
          <w:sz w:val="24"/>
          <w:szCs w:val="24"/>
        </w:rPr>
        <w:t>informed</w:t>
      </w:r>
      <w:r w:rsidRPr="00F95339">
        <w:rPr>
          <w:rFonts w:ascii="Segoe UI" w:hAnsi="Segoe UI" w:cs="Segoe UI"/>
          <w:sz w:val="24"/>
          <w:szCs w:val="24"/>
        </w:rPr>
        <w:t xml:space="preserve"> the content of the workshop</w:t>
      </w:r>
      <w:r>
        <w:rPr>
          <w:rFonts w:ascii="Segoe UI" w:hAnsi="Segoe UI" w:cs="Segoe UI"/>
          <w:sz w:val="24"/>
          <w:szCs w:val="24"/>
        </w:rPr>
        <w:t>.</w:t>
      </w:r>
      <w:r w:rsidR="00890ABC">
        <w:rPr>
          <w:rFonts w:ascii="Segoe UI" w:hAnsi="Segoe UI" w:cs="Segoe UI"/>
          <w:sz w:val="24"/>
          <w:szCs w:val="24"/>
        </w:rPr>
        <w:t xml:space="preserve"> </w:t>
      </w:r>
      <w:r w:rsidR="008A3678">
        <w:rPr>
          <w:rFonts w:ascii="Segoe UI" w:hAnsi="Segoe UI" w:cs="Segoe UI"/>
          <w:sz w:val="24"/>
          <w:szCs w:val="24"/>
        </w:rPr>
        <w:t xml:space="preserve">Comments </w:t>
      </w:r>
      <w:r w:rsidRPr="00890ABC">
        <w:rPr>
          <w:rFonts w:ascii="Segoe UI" w:hAnsi="Segoe UI" w:cs="Segoe UI"/>
          <w:sz w:val="24"/>
          <w:szCs w:val="24"/>
        </w:rPr>
        <w:t>received during the workshop will help the CNSC to better understand</w:t>
      </w:r>
      <w:r w:rsidR="0015439E">
        <w:rPr>
          <w:rFonts w:ascii="Segoe UI" w:hAnsi="Segoe UI" w:cs="Segoe UI"/>
          <w:sz w:val="24"/>
          <w:szCs w:val="24"/>
        </w:rPr>
        <w:t xml:space="preserve"> </w:t>
      </w:r>
      <w:r w:rsidR="008A3678">
        <w:rPr>
          <w:rFonts w:ascii="Segoe UI" w:hAnsi="Segoe UI" w:cs="Segoe UI"/>
          <w:sz w:val="24"/>
          <w:szCs w:val="24"/>
        </w:rPr>
        <w:t>concerns about the project</w:t>
      </w:r>
      <w:r w:rsidRPr="00890ABC">
        <w:rPr>
          <w:rFonts w:ascii="Segoe UI" w:hAnsi="Segoe UI" w:cs="Segoe UI"/>
          <w:sz w:val="24"/>
          <w:szCs w:val="24"/>
        </w:rPr>
        <w:t xml:space="preserve"> and </w:t>
      </w:r>
      <w:r w:rsidR="004736E9">
        <w:rPr>
          <w:rFonts w:ascii="Segoe UI" w:hAnsi="Segoe UI" w:cs="Segoe UI"/>
          <w:sz w:val="24"/>
          <w:szCs w:val="24"/>
        </w:rPr>
        <w:t>may</w:t>
      </w:r>
      <w:r w:rsidR="004736E9" w:rsidRPr="00890ABC">
        <w:rPr>
          <w:rFonts w:ascii="Segoe UI" w:hAnsi="Segoe UI" w:cs="Segoe UI"/>
          <w:sz w:val="24"/>
          <w:szCs w:val="24"/>
        </w:rPr>
        <w:t xml:space="preserve"> </w:t>
      </w:r>
      <w:r w:rsidRPr="00890ABC">
        <w:rPr>
          <w:rFonts w:ascii="Segoe UI" w:hAnsi="Segoe UI" w:cs="Segoe UI"/>
          <w:sz w:val="24"/>
          <w:szCs w:val="24"/>
        </w:rPr>
        <w:t>inform CNSC recommendations to the Commission at future hearings</w:t>
      </w:r>
      <w:r w:rsidR="008A3678">
        <w:rPr>
          <w:rFonts w:ascii="Segoe UI" w:hAnsi="Segoe UI" w:cs="Segoe UI"/>
          <w:sz w:val="24"/>
          <w:szCs w:val="24"/>
        </w:rPr>
        <w:t>, including the January 202</w:t>
      </w:r>
      <w:r w:rsidR="004B2CAB">
        <w:rPr>
          <w:rFonts w:ascii="Segoe UI" w:hAnsi="Segoe UI" w:cs="Segoe UI"/>
          <w:sz w:val="24"/>
          <w:szCs w:val="24"/>
        </w:rPr>
        <w:t>4</w:t>
      </w:r>
      <w:r w:rsidR="008A3678">
        <w:rPr>
          <w:rFonts w:ascii="Segoe UI" w:hAnsi="Segoe UI" w:cs="Segoe UI"/>
          <w:sz w:val="24"/>
          <w:szCs w:val="24"/>
        </w:rPr>
        <w:t xml:space="preserve"> Commission proceeding</w:t>
      </w:r>
      <w:r w:rsidRPr="00890ABC">
        <w:rPr>
          <w:rFonts w:ascii="Segoe UI" w:hAnsi="Segoe UI" w:cs="Segoe UI"/>
          <w:sz w:val="24"/>
          <w:szCs w:val="24"/>
        </w:rPr>
        <w:t>.</w:t>
      </w:r>
    </w:p>
    <w:p w14:paraId="78830AC7" w14:textId="77777777" w:rsidR="00946AB3" w:rsidRPr="00437FCE" w:rsidRDefault="00946AB3" w:rsidP="00F95339">
      <w:pPr>
        <w:spacing w:after="0"/>
        <w:rPr>
          <w:rFonts w:ascii="Segoe UI" w:hAnsi="Segoe UI" w:cs="Segoe UI"/>
          <w:sz w:val="24"/>
          <w:szCs w:val="24"/>
        </w:rPr>
      </w:pPr>
    </w:p>
    <w:p w14:paraId="74A472B9" w14:textId="65056824" w:rsidR="00890ABC" w:rsidRDefault="00890ABC" w:rsidP="001C086E">
      <w:pPr>
        <w:rPr>
          <w:rFonts w:ascii="Segoe UI" w:hAnsi="Segoe UI" w:cs="Segoe UI"/>
          <w:b/>
          <w:bCs/>
          <w:sz w:val="36"/>
          <w:szCs w:val="36"/>
        </w:rPr>
      </w:pPr>
      <w:r>
        <w:rPr>
          <w:rFonts w:ascii="Segoe UI" w:hAnsi="Segoe UI" w:cs="Segoe UI"/>
          <w:b/>
          <w:bCs/>
          <w:sz w:val="36"/>
          <w:szCs w:val="36"/>
        </w:rPr>
        <w:t>Background</w:t>
      </w:r>
    </w:p>
    <w:p w14:paraId="2C0EA6DE" w14:textId="60A420EB" w:rsidR="00437FCE" w:rsidRPr="00437FCE" w:rsidRDefault="0089334A" w:rsidP="000F6A1D">
      <w:pPr>
        <w:spacing w:after="0"/>
        <w:jc w:val="both"/>
        <w:rPr>
          <w:rFonts w:ascii="Segoe UI" w:hAnsi="Segoe UI" w:cs="Segoe UI"/>
          <w:sz w:val="24"/>
          <w:szCs w:val="24"/>
        </w:rPr>
      </w:pPr>
      <w:r>
        <w:rPr>
          <w:rFonts w:ascii="Segoe UI" w:hAnsi="Segoe UI" w:cs="Segoe UI"/>
          <w:sz w:val="24"/>
          <w:szCs w:val="24"/>
        </w:rPr>
        <w:t xml:space="preserve">In 2006, </w:t>
      </w:r>
      <w:r w:rsidR="00437FCE" w:rsidRPr="00437FCE">
        <w:rPr>
          <w:rFonts w:ascii="Segoe UI" w:hAnsi="Segoe UI" w:cs="Segoe UI"/>
          <w:sz w:val="24"/>
          <w:szCs w:val="24"/>
        </w:rPr>
        <w:t>OPG</w:t>
      </w:r>
      <w:r>
        <w:rPr>
          <w:rFonts w:ascii="Segoe UI" w:hAnsi="Segoe UI" w:cs="Segoe UI"/>
          <w:sz w:val="24"/>
          <w:szCs w:val="24"/>
        </w:rPr>
        <w:t xml:space="preserve"> </w:t>
      </w:r>
      <w:r w:rsidR="00437FCE" w:rsidRPr="00437FCE">
        <w:rPr>
          <w:rFonts w:ascii="Segoe UI" w:hAnsi="Segoe UI" w:cs="Segoe UI"/>
          <w:sz w:val="24"/>
          <w:szCs w:val="24"/>
        </w:rPr>
        <w:t>propos</w:t>
      </w:r>
      <w:r w:rsidR="00CA2CE7">
        <w:rPr>
          <w:rFonts w:ascii="Segoe UI" w:hAnsi="Segoe UI" w:cs="Segoe UI"/>
          <w:sz w:val="24"/>
          <w:szCs w:val="24"/>
        </w:rPr>
        <w:t>ed</w:t>
      </w:r>
      <w:r w:rsidR="00437FCE" w:rsidRPr="00437FCE">
        <w:rPr>
          <w:rFonts w:ascii="Segoe UI" w:hAnsi="Segoe UI" w:cs="Segoe UI"/>
          <w:sz w:val="24"/>
          <w:szCs w:val="24"/>
        </w:rPr>
        <w:t xml:space="preserve"> the DNNP </w:t>
      </w:r>
      <w:r w:rsidR="002805C2">
        <w:rPr>
          <w:rFonts w:ascii="Segoe UI" w:hAnsi="Segoe UI" w:cs="Segoe UI"/>
          <w:sz w:val="24"/>
          <w:szCs w:val="24"/>
        </w:rPr>
        <w:t xml:space="preserve">to </w:t>
      </w:r>
      <w:r w:rsidR="00437FCE" w:rsidRPr="00437FCE">
        <w:rPr>
          <w:rFonts w:ascii="Segoe UI" w:hAnsi="Segoe UI" w:cs="Segoe UI"/>
          <w:sz w:val="24"/>
          <w:szCs w:val="24"/>
        </w:rPr>
        <w:t>construct and operat</w:t>
      </w:r>
      <w:r w:rsidR="002805C2">
        <w:rPr>
          <w:rFonts w:ascii="Segoe UI" w:hAnsi="Segoe UI" w:cs="Segoe UI"/>
          <w:sz w:val="24"/>
          <w:szCs w:val="24"/>
        </w:rPr>
        <w:t>e</w:t>
      </w:r>
      <w:r w:rsidR="00437FCE" w:rsidRPr="00437FCE">
        <w:rPr>
          <w:rFonts w:ascii="Segoe UI" w:hAnsi="Segoe UI" w:cs="Segoe UI"/>
          <w:sz w:val="24"/>
          <w:szCs w:val="24"/>
        </w:rPr>
        <w:t xml:space="preserve"> up to four new nuclear reactors at the existing Darlington site in the Municipality of Clarington, on the north shore of Lake Ontario in the Region of Durham. </w:t>
      </w:r>
    </w:p>
    <w:p w14:paraId="4924672B" w14:textId="77777777" w:rsidR="00437FCE" w:rsidRPr="00437FCE" w:rsidRDefault="00437FCE" w:rsidP="000F6A1D">
      <w:pPr>
        <w:spacing w:after="0"/>
        <w:jc w:val="both"/>
        <w:rPr>
          <w:rFonts w:ascii="Segoe UI" w:hAnsi="Segoe UI" w:cs="Segoe UI"/>
          <w:sz w:val="24"/>
          <w:szCs w:val="24"/>
        </w:rPr>
      </w:pPr>
    </w:p>
    <w:p w14:paraId="1496B244" w14:textId="185D5CA2" w:rsidR="00437FCE" w:rsidRPr="00437FCE" w:rsidRDefault="00437FCE" w:rsidP="000F6A1D">
      <w:pPr>
        <w:spacing w:after="0"/>
        <w:jc w:val="both"/>
        <w:rPr>
          <w:rFonts w:ascii="Segoe UI" w:hAnsi="Segoe UI" w:cs="Segoe UI"/>
          <w:sz w:val="24"/>
          <w:szCs w:val="24"/>
        </w:rPr>
      </w:pPr>
      <w:r w:rsidRPr="00437FCE">
        <w:rPr>
          <w:rFonts w:ascii="Segoe UI" w:hAnsi="Segoe UI" w:cs="Segoe UI"/>
          <w:sz w:val="24"/>
          <w:szCs w:val="24"/>
        </w:rPr>
        <w:t>In 2009, OPG submitted an environmental impact statement and an application for a licence to prepare site to the CNSC.</w:t>
      </w:r>
      <w:r w:rsidR="007D00C9">
        <w:rPr>
          <w:rFonts w:ascii="Segoe UI" w:hAnsi="Segoe UI" w:cs="Segoe UI"/>
          <w:sz w:val="24"/>
          <w:szCs w:val="24"/>
        </w:rPr>
        <w:t xml:space="preserve"> The CNSC issued a Licence to Prepare a Site in 2012, which was renewed in 2021 and is set to expire in 2031.</w:t>
      </w:r>
      <w:r w:rsidRPr="00437FCE">
        <w:rPr>
          <w:rFonts w:ascii="Segoe UI" w:hAnsi="Segoe UI" w:cs="Segoe UI"/>
          <w:sz w:val="24"/>
          <w:szCs w:val="24"/>
        </w:rPr>
        <w:t xml:space="preserve"> The Joint Review Panel (JRP),</w:t>
      </w:r>
      <w:r w:rsidR="00BF6F52">
        <w:rPr>
          <w:rFonts w:ascii="Segoe UI" w:hAnsi="Segoe UI" w:cs="Segoe UI"/>
          <w:sz w:val="24"/>
          <w:szCs w:val="24"/>
        </w:rPr>
        <w:t xml:space="preserve"> that</w:t>
      </w:r>
      <w:r w:rsidRPr="00437FCE">
        <w:rPr>
          <w:rFonts w:ascii="Segoe UI" w:hAnsi="Segoe UI" w:cs="Segoe UI"/>
          <w:sz w:val="24"/>
          <w:szCs w:val="24"/>
        </w:rPr>
        <w:t xml:space="preserve"> was considering the project as per the </w:t>
      </w:r>
      <w:r w:rsidRPr="00437FCE">
        <w:rPr>
          <w:rFonts w:ascii="Segoe UI" w:hAnsi="Segoe UI" w:cs="Segoe UI"/>
          <w:i/>
          <w:iCs/>
          <w:sz w:val="24"/>
          <w:szCs w:val="24"/>
        </w:rPr>
        <w:t>Canadian Environmental Assessment Act</w:t>
      </w:r>
      <w:r w:rsidR="00130CA0">
        <w:rPr>
          <w:rFonts w:ascii="Segoe UI" w:hAnsi="Segoe UI" w:cs="Segoe UI"/>
          <w:i/>
          <w:iCs/>
          <w:sz w:val="24"/>
          <w:szCs w:val="24"/>
        </w:rPr>
        <w:t xml:space="preserve"> 2009</w:t>
      </w:r>
      <w:r w:rsidRPr="00437FCE">
        <w:rPr>
          <w:rFonts w:ascii="Segoe UI" w:hAnsi="Segoe UI" w:cs="Segoe UI"/>
          <w:sz w:val="24"/>
          <w:szCs w:val="24"/>
        </w:rPr>
        <w:t xml:space="preserve">, released its report on August 25, 2011, and presented 67 recommendations in its report, including recommendation 1: </w:t>
      </w:r>
    </w:p>
    <w:p w14:paraId="7441A5C7" w14:textId="77777777" w:rsidR="00437FCE" w:rsidRPr="00437FCE" w:rsidRDefault="00437FCE" w:rsidP="000F6A1D">
      <w:pPr>
        <w:spacing w:after="0"/>
        <w:jc w:val="both"/>
        <w:rPr>
          <w:rFonts w:ascii="Segoe UI" w:hAnsi="Segoe UI" w:cs="Segoe UI"/>
          <w:sz w:val="24"/>
          <w:szCs w:val="24"/>
        </w:rPr>
      </w:pPr>
    </w:p>
    <w:p w14:paraId="1581C3A6" w14:textId="5604D177" w:rsidR="00437FCE" w:rsidRPr="009C402A" w:rsidRDefault="00437FCE" w:rsidP="00AE7DD4">
      <w:pPr>
        <w:spacing w:after="0"/>
        <w:ind w:left="1170" w:right="1260"/>
        <w:jc w:val="both"/>
        <w:rPr>
          <w:rFonts w:ascii="Segoe UI" w:hAnsi="Segoe UI" w:cs="Segoe UI"/>
          <w:i/>
          <w:iCs/>
        </w:rPr>
      </w:pPr>
      <w:r w:rsidRPr="009C402A">
        <w:rPr>
          <w:rFonts w:ascii="Segoe UI" w:hAnsi="Segoe UI" w:cs="Segoe UI"/>
          <w:i/>
          <w:iCs/>
        </w:rPr>
        <w:t>The Panel understands that prior to construction, the Canadian Nuclear Safety Commission will determine whether this environmental assessment is applicable to the reactor technology selected by the Government of Ontario for the Project. Nevertheless, if the selected reactor technology is fundamentally different from the specific reactor technologies bounded by the plant parameter envelope, the Panel recommends that a new environmental assessment be conducted.</w:t>
      </w:r>
    </w:p>
    <w:p w14:paraId="2E3B70A0" w14:textId="77777777" w:rsidR="00437FCE" w:rsidRPr="00437FCE" w:rsidRDefault="00437FCE" w:rsidP="000F6A1D">
      <w:pPr>
        <w:spacing w:after="0"/>
        <w:jc w:val="both"/>
        <w:rPr>
          <w:rFonts w:ascii="Segoe UI" w:hAnsi="Segoe UI" w:cs="Segoe UI"/>
          <w:sz w:val="24"/>
          <w:szCs w:val="24"/>
        </w:rPr>
      </w:pPr>
    </w:p>
    <w:p w14:paraId="0CDB0153" w14:textId="3990701F" w:rsidR="00437FCE" w:rsidRPr="00437FCE" w:rsidRDefault="00437FCE" w:rsidP="000F6A1D">
      <w:pPr>
        <w:spacing w:after="0"/>
        <w:jc w:val="both"/>
        <w:rPr>
          <w:rFonts w:ascii="Segoe UI" w:hAnsi="Segoe UI" w:cs="Segoe UI"/>
          <w:sz w:val="24"/>
          <w:szCs w:val="24"/>
        </w:rPr>
      </w:pPr>
      <w:r w:rsidRPr="00437FCE">
        <w:rPr>
          <w:rFonts w:ascii="Segoe UI" w:hAnsi="Segoe UI" w:cs="Segoe UI"/>
          <w:sz w:val="24"/>
          <w:szCs w:val="24"/>
        </w:rPr>
        <w:t xml:space="preserve">The </w:t>
      </w:r>
      <w:hyperlink r:id="rId9" w:history="1">
        <w:r w:rsidRPr="00437FCE">
          <w:rPr>
            <w:rStyle w:val="Hyperlink"/>
            <w:rFonts w:ascii="Segoe UI" w:hAnsi="Segoe UI" w:cs="Segoe UI"/>
            <w:sz w:val="24"/>
            <w:szCs w:val="24"/>
          </w:rPr>
          <w:t xml:space="preserve">Government of Canada </w:t>
        </w:r>
        <w:r w:rsidR="00D92011">
          <w:rPr>
            <w:rStyle w:val="Hyperlink"/>
            <w:rFonts w:ascii="Segoe UI" w:hAnsi="Segoe UI" w:cs="Segoe UI"/>
            <w:sz w:val="24"/>
            <w:szCs w:val="24"/>
          </w:rPr>
          <w:t>r</w:t>
        </w:r>
        <w:r w:rsidRPr="00437FCE">
          <w:rPr>
            <w:rStyle w:val="Hyperlink"/>
            <w:rFonts w:ascii="Segoe UI" w:hAnsi="Segoe UI" w:cs="Segoe UI"/>
            <w:sz w:val="24"/>
            <w:szCs w:val="24"/>
          </w:rPr>
          <w:t>esponse</w:t>
        </w:r>
      </w:hyperlink>
      <w:r w:rsidRPr="00437FCE">
        <w:rPr>
          <w:rFonts w:ascii="Segoe UI" w:hAnsi="Segoe UI" w:cs="Segoe UI"/>
          <w:sz w:val="24"/>
          <w:szCs w:val="24"/>
        </w:rPr>
        <w:t xml:space="preserve"> </w:t>
      </w:r>
      <w:r w:rsidR="006D5BBC">
        <w:rPr>
          <w:rFonts w:ascii="Segoe UI" w:hAnsi="Segoe UI" w:cs="Segoe UI"/>
          <w:sz w:val="24"/>
          <w:szCs w:val="24"/>
        </w:rPr>
        <w:t xml:space="preserve">to the JRP report </w:t>
      </w:r>
      <w:r w:rsidRPr="00437FCE">
        <w:rPr>
          <w:rFonts w:ascii="Segoe UI" w:hAnsi="Segoe UI" w:cs="Segoe UI"/>
          <w:sz w:val="24"/>
          <w:szCs w:val="24"/>
        </w:rPr>
        <w:t>concluded that no significant adverse environmental effects were likely if all mitigation measures were implemented.</w:t>
      </w:r>
      <w:r w:rsidR="00D60D70">
        <w:rPr>
          <w:rFonts w:ascii="Segoe UI" w:hAnsi="Segoe UI" w:cs="Segoe UI"/>
          <w:sz w:val="24"/>
          <w:szCs w:val="24"/>
        </w:rPr>
        <w:t xml:space="preserve"> </w:t>
      </w:r>
      <w:r w:rsidRPr="00D60D70">
        <w:rPr>
          <w:rFonts w:ascii="Segoe UI" w:hAnsi="Segoe UI" w:cs="Segoe UI"/>
          <w:sz w:val="24"/>
          <w:szCs w:val="24"/>
        </w:rPr>
        <w:t>OPG is required to demonstrate that its chosen technology fits within the bounds of the approved environmental assessment and to assess the potential effects on any parameters that are outside the previously approved bounding approach.</w:t>
      </w:r>
    </w:p>
    <w:p w14:paraId="48CE92C3" w14:textId="77777777" w:rsidR="00437FCE" w:rsidRPr="00437FCE" w:rsidRDefault="00437FCE" w:rsidP="000F6A1D">
      <w:pPr>
        <w:spacing w:after="0"/>
        <w:jc w:val="both"/>
        <w:rPr>
          <w:rFonts w:ascii="Segoe UI" w:hAnsi="Segoe UI" w:cs="Segoe UI"/>
          <w:sz w:val="24"/>
          <w:szCs w:val="24"/>
        </w:rPr>
      </w:pPr>
    </w:p>
    <w:p w14:paraId="37E112DD" w14:textId="53D176A0" w:rsidR="00437FCE" w:rsidRPr="00437FCE" w:rsidRDefault="00437FCE" w:rsidP="000F6A1D">
      <w:pPr>
        <w:spacing w:after="0"/>
        <w:jc w:val="both"/>
        <w:rPr>
          <w:rFonts w:ascii="Segoe UI" w:hAnsi="Segoe UI" w:cs="Segoe UI"/>
          <w:sz w:val="24"/>
          <w:szCs w:val="24"/>
        </w:rPr>
      </w:pPr>
      <w:r w:rsidRPr="00437FCE">
        <w:rPr>
          <w:rFonts w:ascii="Segoe UI" w:hAnsi="Segoe UI" w:cs="Segoe UI"/>
          <w:sz w:val="24"/>
          <w:szCs w:val="24"/>
        </w:rPr>
        <w:t xml:space="preserve">In October 2022, OPG </w:t>
      </w:r>
      <w:proofErr w:type="gramStart"/>
      <w:r w:rsidRPr="00437FCE">
        <w:rPr>
          <w:rFonts w:ascii="Segoe UI" w:hAnsi="Segoe UI" w:cs="Segoe UI"/>
          <w:sz w:val="24"/>
          <w:szCs w:val="24"/>
        </w:rPr>
        <w:t>submitted an application</w:t>
      </w:r>
      <w:proofErr w:type="gramEnd"/>
      <w:r w:rsidRPr="00437FCE">
        <w:rPr>
          <w:rFonts w:ascii="Segoe UI" w:hAnsi="Segoe UI" w:cs="Segoe UI"/>
          <w:sz w:val="24"/>
          <w:szCs w:val="24"/>
        </w:rPr>
        <w:t xml:space="preserve"> to the CNSC for a licence to construct one small modular reactor (SMR)</w:t>
      </w:r>
      <w:r w:rsidR="00BF6F52">
        <w:rPr>
          <w:rFonts w:ascii="Segoe UI" w:hAnsi="Segoe UI" w:cs="Segoe UI"/>
          <w:sz w:val="24"/>
          <w:szCs w:val="24"/>
        </w:rPr>
        <w:t>. In response to JRP recommendation 1, OPG</w:t>
      </w:r>
      <w:r w:rsidRPr="00437FCE">
        <w:rPr>
          <w:rFonts w:ascii="Segoe UI" w:hAnsi="Segoe UI" w:cs="Segoe UI"/>
          <w:sz w:val="24"/>
          <w:szCs w:val="24"/>
        </w:rPr>
        <w:t xml:space="preserve"> submitted</w:t>
      </w:r>
      <w:r w:rsidR="00BF6F52">
        <w:rPr>
          <w:rFonts w:ascii="Segoe UI" w:hAnsi="Segoe UI" w:cs="Segoe UI"/>
          <w:sz w:val="24"/>
          <w:szCs w:val="24"/>
        </w:rPr>
        <w:t xml:space="preserve"> the following</w:t>
      </w:r>
      <w:r w:rsidRPr="00437FCE">
        <w:rPr>
          <w:rFonts w:ascii="Segoe UI" w:hAnsi="Segoe UI" w:cs="Segoe UI"/>
          <w:sz w:val="24"/>
          <w:szCs w:val="24"/>
        </w:rPr>
        <w:t xml:space="preserve"> 2 documents</w:t>
      </w:r>
      <w:r w:rsidR="009E758A">
        <w:rPr>
          <w:rFonts w:ascii="Segoe UI" w:hAnsi="Segoe UI" w:cs="Segoe UI"/>
          <w:sz w:val="24"/>
          <w:szCs w:val="24"/>
        </w:rPr>
        <w:t xml:space="preserve"> </w:t>
      </w:r>
      <w:r w:rsidR="001B58F3">
        <w:rPr>
          <w:rFonts w:ascii="Segoe UI" w:hAnsi="Segoe UI" w:cs="Segoe UI"/>
          <w:sz w:val="24"/>
          <w:szCs w:val="24"/>
        </w:rPr>
        <w:t>to</w:t>
      </w:r>
      <w:r w:rsidR="00BF6F52">
        <w:rPr>
          <w:rFonts w:ascii="Segoe UI" w:hAnsi="Segoe UI" w:cs="Segoe UI"/>
          <w:sz w:val="24"/>
          <w:szCs w:val="24"/>
        </w:rPr>
        <w:t xml:space="preserve"> provide </w:t>
      </w:r>
      <w:r w:rsidR="009E758A">
        <w:rPr>
          <w:rFonts w:ascii="Segoe UI" w:hAnsi="Segoe UI" w:cs="Segoe UI"/>
          <w:sz w:val="24"/>
          <w:szCs w:val="24"/>
        </w:rPr>
        <w:t xml:space="preserve">updated </w:t>
      </w:r>
      <w:r w:rsidR="008A3678">
        <w:rPr>
          <w:rFonts w:ascii="Segoe UI" w:hAnsi="Segoe UI" w:cs="Segoe UI"/>
          <w:sz w:val="24"/>
          <w:szCs w:val="24"/>
        </w:rPr>
        <w:t xml:space="preserve">details on the </w:t>
      </w:r>
      <w:r w:rsidR="00BF6F52">
        <w:rPr>
          <w:rFonts w:ascii="Segoe UI" w:hAnsi="Segoe UI" w:cs="Segoe UI"/>
          <w:sz w:val="24"/>
          <w:szCs w:val="24"/>
        </w:rPr>
        <w:t xml:space="preserve">selected </w:t>
      </w:r>
      <w:r w:rsidR="009E758A">
        <w:rPr>
          <w:rFonts w:ascii="Segoe UI" w:hAnsi="Segoe UI" w:cs="Segoe UI"/>
          <w:sz w:val="24"/>
          <w:szCs w:val="24"/>
        </w:rPr>
        <w:t>BWRX-300</w:t>
      </w:r>
      <w:r w:rsidR="00BF6F52">
        <w:rPr>
          <w:rFonts w:ascii="Segoe UI" w:hAnsi="Segoe UI" w:cs="Segoe UI"/>
          <w:sz w:val="24"/>
          <w:szCs w:val="24"/>
        </w:rPr>
        <w:t xml:space="preserve"> </w:t>
      </w:r>
      <w:r w:rsidR="00502AD0">
        <w:rPr>
          <w:rFonts w:ascii="Segoe UI" w:hAnsi="Segoe UI" w:cs="Segoe UI"/>
          <w:sz w:val="24"/>
          <w:szCs w:val="24"/>
        </w:rPr>
        <w:t>technology, and</w:t>
      </w:r>
      <w:r w:rsidR="00BF6F52">
        <w:rPr>
          <w:rFonts w:ascii="Segoe UI" w:hAnsi="Segoe UI" w:cs="Segoe UI"/>
          <w:sz w:val="24"/>
          <w:szCs w:val="24"/>
        </w:rPr>
        <w:t xml:space="preserve"> </w:t>
      </w:r>
      <w:r w:rsidR="00681ECE">
        <w:rPr>
          <w:rFonts w:ascii="Segoe UI" w:hAnsi="Segoe UI" w:cs="Segoe UI"/>
          <w:sz w:val="24"/>
          <w:szCs w:val="24"/>
        </w:rPr>
        <w:t xml:space="preserve">to compare </w:t>
      </w:r>
      <w:r w:rsidR="004B2CAB">
        <w:rPr>
          <w:rFonts w:ascii="Segoe UI" w:hAnsi="Segoe UI" w:cs="Segoe UI"/>
          <w:sz w:val="24"/>
          <w:szCs w:val="24"/>
        </w:rPr>
        <w:t xml:space="preserve">this selected technology </w:t>
      </w:r>
      <w:r w:rsidR="008A3678">
        <w:rPr>
          <w:rFonts w:ascii="Segoe UI" w:hAnsi="Segoe UI" w:cs="Segoe UI"/>
          <w:sz w:val="24"/>
          <w:szCs w:val="24"/>
        </w:rPr>
        <w:t xml:space="preserve">to </w:t>
      </w:r>
      <w:r w:rsidR="00BF6F52">
        <w:rPr>
          <w:rFonts w:ascii="Segoe UI" w:hAnsi="Segoe UI" w:cs="Segoe UI"/>
          <w:sz w:val="24"/>
          <w:szCs w:val="24"/>
        </w:rPr>
        <w:t>the specific reactor technologies bounded</w:t>
      </w:r>
      <w:r w:rsidR="007B40B2">
        <w:rPr>
          <w:rFonts w:ascii="Segoe UI" w:hAnsi="Segoe UI" w:cs="Segoe UI"/>
          <w:sz w:val="24"/>
          <w:szCs w:val="24"/>
        </w:rPr>
        <w:t xml:space="preserve"> </w:t>
      </w:r>
      <w:r w:rsidR="001B58F3">
        <w:rPr>
          <w:rFonts w:ascii="Segoe UI" w:hAnsi="Segoe UI" w:cs="Segoe UI"/>
          <w:sz w:val="24"/>
          <w:szCs w:val="24"/>
        </w:rPr>
        <w:t>i</w:t>
      </w:r>
      <w:r w:rsidR="007B40B2">
        <w:rPr>
          <w:rFonts w:ascii="Segoe UI" w:hAnsi="Segoe UI" w:cs="Segoe UI"/>
          <w:sz w:val="24"/>
          <w:szCs w:val="24"/>
        </w:rPr>
        <w:t>n</w:t>
      </w:r>
      <w:r w:rsidR="00BF6F52">
        <w:rPr>
          <w:rFonts w:ascii="Segoe UI" w:hAnsi="Segoe UI" w:cs="Segoe UI"/>
          <w:sz w:val="24"/>
          <w:szCs w:val="24"/>
        </w:rPr>
        <w:t xml:space="preserve"> the </w:t>
      </w:r>
      <w:r w:rsidR="009E758A">
        <w:rPr>
          <w:rFonts w:ascii="Segoe UI" w:hAnsi="Segoe UI" w:cs="Segoe UI"/>
          <w:sz w:val="24"/>
          <w:szCs w:val="24"/>
        </w:rPr>
        <w:t>original</w:t>
      </w:r>
      <w:r w:rsidR="00BF6F52">
        <w:rPr>
          <w:rFonts w:ascii="Segoe UI" w:hAnsi="Segoe UI" w:cs="Segoe UI"/>
          <w:sz w:val="24"/>
          <w:szCs w:val="24"/>
        </w:rPr>
        <w:t xml:space="preserve"> 2009</w:t>
      </w:r>
      <w:r w:rsidR="009E758A">
        <w:rPr>
          <w:rFonts w:ascii="Segoe UI" w:hAnsi="Segoe UI" w:cs="Segoe UI"/>
          <w:sz w:val="24"/>
          <w:szCs w:val="24"/>
        </w:rPr>
        <w:t xml:space="preserve"> submi</w:t>
      </w:r>
      <w:r w:rsidR="00BF6F52">
        <w:rPr>
          <w:rFonts w:ascii="Segoe UI" w:hAnsi="Segoe UI" w:cs="Segoe UI"/>
          <w:sz w:val="24"/>
          <w:szCs w:val="24"/>
        </w:rPr>
        <w:t>ssion</w:t>
      </w:r>
      <w:r w:rsidRPr="00437FCE">
        <w:rPr>
          <w:rFonts w:ascii="Segoe UI" w:hAnsi="Segoe UI" w:cs="Segoe UI"/>
          <w:sz w:val="24"/>
          <w:szCs w:val="24"/>
        </w:rPr>
        <w:t>:</w:t>
      </w:r>
    </w:p>
    <w:p w14:paraId="509D81D3" w14:textId="77777777" w:rsidR="00437FCE" w:rsidRPr="00437FCE" w:rsidRDefault="00437FCE" w:rsidP="000F6A1D">
      <w:pPr>
        <w:spacing w:after="0"/>
        <w:jc w:val="both"/>
        <w:rPr>
          <w:rFonts w:ascii="Segoe UI" w:hAnsi="Segoe UI" w:cs="Segoe UI"/>
          <w:sz w:val="24"/>
          <w:szCs w:val="24"/>
        </w:rPr>
      </w:pPr>
    </w:p>
    <w:p w14:paraId="6757B06F" w14:textId="07E3AED2" w:rsidR="00437FCE" w:rsidRDefault="00437FCE" w:rsidP="00FA7AEC">
      <w:pPr>
        <w:pStyle w:val="ListParagraph"/>
        <w:numPr>
          <w:ilvl w:val="0"/>
          <w:numId w:val="1"/>
        </w:numPr>
        <w:spacing w:after="0"/>
        <w:jc w:val="both"/>
        <w:rPr>
          <w:rFonts w:ascii="Segoe UI" w:hAnsi="Segoe UI" w:cs="Segoe UI"/>
          <w:sz w:val="24"/>
          <w:szCs w:val="24"/>
        </w:rPr>
      </w:pPr>
      <w:r w:rsidRPr="00A3465F">
        <w:rPr>
          <w:rFonts w:ascii="Segoe UI" w:hAnsi="Segoe UI" w:cs="Segoe UI"/>
          <w:b/>
          <w:bCs/>
          <w:sz w:val="24"/>
          <w:szCs w:val="24"/>
        </w:rPr>
        <w:t>Environmental Impact Statement Review Report</w:t>
      </w:r>
      <w:r w:rsidR="005F5E8F" w:rsidRPr="00A3465F">
        <w:rPr>
          <w:rFonts w:ascii="Segoe UI" w:hAnsi="Segoe UI" w:cs="Segoe UI"/>
          <w:b/>
          <w:bCs/>
          <w:sz w:val="24"/>
          <w:szCs w:val="24"/>
        </w:rPr>
        <w:t xml:space="preserve"> (EIS Review Report)</w:t>
      </w:r>
      <w:r w:rsidR="00A3465F">
        <w:rPr>
          <w:rFonts w:ascii="Segoe UI" w:hAnsi="Segoe UI" w:cs="Segoe UI"/>
          <w:sz w:val="24"/>
          <w:szCs w:val="24"/>
        </w:rPr>
        <w:t xml:space="preserve">, </w:t>
      </w:r>
      <w:r w:rsidR="00A3465F" w:rsidRPr="00A3465F">
        <w:rPr>
          <w:rFonts w:ascii="Segoe UI" w:hAnsi="Segoe UI" w:cs="Segoe UI"/>
          <w:sz w:val="24"/>
          <w:szCs w:val="24"/>
        </w:rPr>
        <w:t xml:space="preserve">documents </w:t>
      </w:r>
      <w:r w:rsidR="008A3678">
        <w:rPr>
          <w:rFonts w:ascii="Segoe UI" w:hAnsi="Segoe UI" w:cs="Segoe UI"/>
          <w:sz w:val="24"/>
          <w:szCs w:val="24"/>
        </w:rPr>
        <w:t>OPG’s</w:t>
      </w:r>
      <w:r w:rsidR="00A3465F" w:rsidRPr="00A3465F">
        <w:rPr>
          <w:rFonts w:ascii="Segoe UI" w:hAnsi="Segoe UI" w:cs="Segoe UI"/>
          <w:sz w:val="24"/>
          <w:szCs w:val="24"/>
        </w:rPr>
        <w:t xml:space="preserve"> </w:t>
      </w:r>
      <w:r w:rsidR="00836148">
        <w:rPr>
          <w:rFonts w:ascii="Segoe UI" w:hAnsi="Segoe UI" w:cs="Segoe UI"/>
          <w:sz w:val="24"/>
          <w:szCs w:val="24"/>
        </w:rPr>
        <w:t xml:space="preserve">review of the </w:t>
      </w:r>
      <w:r w:rsidR="009E758A">
        <w:rPr>
          <w:rFonts w:ascii="Segoe UI" w:hAnsi="Segoe UI" w:cs="Segoe UI"/>
          <w:sz w:val="24"/>
          <w:szCs w:val="24"/>
        </w:rPr>
        <w:t>2009 environmental impact statement</w:t>
      </w:r>
      <w:r w:rsidR="0098336A">
        <w:rPr>
          <w:rFonts w:ascii="Segoe UI" w:hAnsi="Segoe UI" w:cs="Segoe UI"/>
          <w:sz w:val="24"/>
          <w:szCs w:val="24"/>
        </w:rPr>
        <w:t xml:space="preserve"> </w:t>
      </w:r>
      <w:r w:rsidR="003E5D0F">
        <w:rPr>
          <w:rFonts w:ascii="Segoe UI" w:hAnsi="Segoe UI" w:cs="Segoe UI"/>
          <w:sz w:val="24"/>
          <w:szCs w:val="24"/>
        </w:rPr>
        <w:t>to demonstrate that the results remain valid with the BWRX-300</w:t>
      </w:r>
      <w:r w:rsidR="009E758A">
        <w:rPr>
          <w:rFonts w:ascii="Segoe UI" w:hAnsi="Segoe UI" w:cs="Segoe UI"/>
          <w:sz w:val="24"/>
          <w:szCs w:val="24"/>
        </w:rPr>
        <w:t xml:space="preserve">. </w:t>
      </w:r>
    </w:p>
    <w:p w14:paraId="1EECAD26" w14:textId="77777777" w:rsidR="00EC0CEE" w:rsidRPr="00A3465F" w:rsidRDefault="00EC0CEE" w:rsidP="00EC0CEE">
      <w:pPr>
        <w:pStyle w:val="ListParagraph"/>
        <w:spacing w:after="0"/>
        <w:jc w:val="both"/>
        <w:rPr>
          <w:rFonts w:ascii="Segoe UI" w:hAnsi="Segoe UI" w:cs="Segoe UI"/>
          <w:sz w:val="24"/>
          <w:szCs w:val="24"/>
        </w:rPr>
      </w:pPr>
    </w:p>
    <w:p w14:paraId="2DD8177A" w14:textId="3C4C490B" w:rsidR="00A3465F" w:rsidRPr="00A3465F" w:rsidRDefault="00A3465F" w:rsidP="00FA7AEC">
      <w:pPr>
        <w:pStyle w:val="ListParagraph"/>
        <w:numPr>
          <w:ilvl w:val="0"/>
          <w:numId w:val="1"/>
        </w:numPr>
        <w:spacing w:after="0"/>
        <w:jc w:val="both"/>
        <w:rPr>
          <w:rFonts w:ascii="Segoe UI" w:hAnsi="Segoe UI" w:cs="Segoe UI"/>
          <w:sz w:val="24"/>
          <w:szCs w:val="24"/>
        </w:rPr>
      </w:pPr>
      <w:r w:rsidRPr="00A3465F">
        <w:rPr>
          <w:rFonts w:ascii="Segoe UI" w:hAnsi="Segoe UI" w:cs="Segoe UI"/>
          <w:b/>
          <w:bCs/>
          <w:sz w:val="24"/>
          <w:szCs w:val="24"/>
        </w:rPr>
        <w:t>Updated Plant Parameter Envelope Report (PPE Report)</w:t>
      </w:r>
      <w:r w:rsidR="003E5D0F">
        <w:rPr>
          <w:rFonts w:ascii="Segoe UI" w:hAnsi="Segoe UI" w:cs="Segoe UI"/>
          <w:sz w:val="24"/>
          <w:szCs w:val="24"/>
        </w:rPr>
        <w:t>. A PPE</w:t>
      </w:r>
      <w:r w:rsidRPr="00A3465F">
        <w:rPr>
          <w:rFonts w:ascii="Segoe UI" w:hAnsi="Segoe UI" w:cs="Segoe UI"/>
          <w:b/>
          <w:bCs/>
          <w:sz w:val="24"/>
          <w:szCs w:val="24"/>
        </w:rPr>
        <w:t xml:space="preserve"> </w:t>
      </w:r>
      <w:r w:rsidRPr="00A3465F">
        <w:rPr>
          <w:rStyle w:val="ui-provider"/>
          <w:rFonts w:ascii="Segoe UI" w:hAnsi="Segoe UI" w:cs="Segoe UI"/>
          <w:sz w:val="24"/>
          <w:szCs w:val="24"/>
        </w:rPr>
        <w:t xml:space="preserve">is a listing of values used in </w:t>
      </w:r>
      <w:r w:rsidR="00F56B7D">
        <w:rPr>
          <w:rStyle w:val="ui-provider"/>
          <w:rFonts w:ascii="Segoe UI" w:hAnsi="Segoe UI" w:cs="Segoe UI"/>
          <w:sz w:val="24"/>
          <w:szCs w:val="24"/>
        </w:rPr>
        <w:t xml:space="preserve">the </w:t>
      </w:r>
      <w:r>
        <w:rPr>
          <w:rStyle w:val="ui-provider"/>
          <w:rFonts w:ascii="Segoe UI" w:hAnsi="Segoe UI" w:cs="Segoe UI"/>
          <w:sz w:val="24"/>
          <w:szCs w:val="24"/>
        </w:rPr>
        <w:t>environmental assessment</w:t>
      </w:r>
      <w:r w:rsidRPr="00A3465F">
        <w:rPr>
          <w:rStyle w:val="ui-provider"/>
          <w:rFonts w:ascii="Segoe UI" w:hAnsi="Segoe UI" w:cs="Segoe UI"/>
          <w:sz w:val="24"/>
          <w:szCs w:val="24"/>
        </w:rPr>
        <w:t xml:space="preserve"> and licen</w:t>
      </w:r>
      <w:r w:rsidR="00F56B7D">
        <w:rPr>
          <w:rStyle w:val="ui-provider"/>
          <w:rFonts w:ascii="Segoe UI" w:hAnsi="Segoe UI" w:cs="Segoe UI"/>
          <w:sz w:val="24"/>
          <w:szCs w:val="24"/>
        </w:rPr>
        <w:t>c</w:t>
      </w:r>
      <w:r w:rsidRPr="00A3465F">
        <w:rPr>
          <w:rStyle w:val="ui-provider"/>
          <w:rFonts w:ascii="Segoe UI" w:hAnsi="Segoe UI" w:cs="Segoe UI"/>
          <w:sz w:val="24"/>
          <w:szCs w:val="24"/>
        </w:rPr>
        <w:t xml:space="preserve">e application to assist in predicting the potential safety and environmental effects of a nuclear </w:t>
      </w:r>
      <w:r w:rsidR="004B2CAB">
        <w:rPr>
          <w:rStyle w:val="ui-provider"/>
          <w:rFonts w:ascii="Segoe UI" w:hAnsi="Segoe UI" w:cs="Segoe UI"/>
          <w:sz w:val="24"/>
          <w:szCs w:val="24"/>
        </w:rPr>
        <w:t>power plant</w:t>
      </w:r>
      <w:r w:rsidRPr="00A3465F">
        <w:rPr>
          <w:rStyle w:val="ui-provider"/>
          <w:rFonts w:ascii="Segoe UI" w:hAnsi="Segoe UI" w:cs="Segoe UI"/>
          <w:sz w:val="24"/>
          <w:szCs w:val="24"/>
        </w:rPr>
        <w:t xml:space="preserve"> at a particular site</w:t>
      </w:r>
      <w:r w:rsidR="003E5D0F">
        <w:rPr>
          <w:rStyle w:val="ui-provider"/>
          <w:rFonts w:ascii="Segoe UI" w:hAnsi="Segoe UI" w:cs="Segoe UI"/>
          <w:sz w:val="24"/>
          <w:szCs w:val="24"/>
        </w:rPr>
        <w:t>.</w:t>
      </w:r>
      <w:r w:rsidR="009E758A">
        <w:rPr>
          <w:rStyle w:val="ui-provider"/>
          <w:rFonts w:ascii="Segoe UI" w:hAnsi="Segoe UI" w:cs="Segoe UI"/>
          <w:sz w:val="24"/>
          <w:szCs w:val="24"/>
        </w:rPr>
        <w:t xml:space="preserve"> </w:t>
      </w:r>
      <w:r w:rsidR="008A3678">
        <w:rPr>
          <w:rStyle w:val="ui-provider"/>
          <w:rFonts w:ascii="Segoe UI" w:hAnsi="Segoe UI" w:cs="Segoe UI"/>
          <w:sz w:val="24"/>
          <w:szCs w:val="24"/>
        </w:rPr>
        <w:t xml:space="preserve">OPG submitted </w:t>
      </w:r>
      <w:r w:rsidR="004B2CAB">
        <w:rPr>
          <w:rStyle w:val="ui-provider"/>
          <w:rFonts w:ascii="Segoe UI" w:hAnsi="Segoe UI" w:cs="Segoe UI"/>
          <w:sz w:val="24"/>
          <w:szCs w:val="24"/>
        </w:rPr>
        <w:t xml:space="preserve">the </w:t>
      </w:r>
      <w:r w:rsidR="003E5D0F">
        <w:rPr>
          <w:rStyle w:val="ui-provider"/>
          <w:rFonts w:ascii="Segoe UI" w:hAnsi="Segoe UI" w:cs="Segoe UI"/>
          <w:sz w:val="24"/>
          <w:szCs w:val="24"/>
        </w:rPr>
        <w:t xml:space="preserve">updated report to assess the effects </w:t>
      </w:r>
      <w:r w:rsidR="00526783">
        <w:rPr>
          <w:rStyle w:val="ui-provider"/>
          <w:rFonts w:ascii="Segoe UI" w:hAnsi="Segoe UI" w:cs="Segoe UI"/>
          <w:sz w:val="24"/>
          <w:szCs w:val="24"/>
        </w:rPr>
        <w:t xml:space="preserve">of BWRX-300 parameters </w:t>
      </w:r>
      <w:r w:rsidR="008A3678">
        <w:rPr>
          <w:rStyle w:val="ui-provider"/>
          <w:rFonts w:ascii="Segoe UI" w:hAnsi="Segoe UI" w:cs="Segoe UI"/>
          <w:sz w:val="24"/>
          <w:szCs w:val="24"/>
        </w:rPr>
        <w:t xml:space="preserve">and how that compares to </w:t>
      </w:r>
      <w:r w:rsidR="00526783">
        <w:rPr>
          <w:rStyle w:val="ui-provider"/>
          <w:rFonts w:ascii="Segoe UI" w:hAnsi="Segoe UI" w:cs="Segoe UI"/>
          <w:sz w:val="24"/>
          <w:szCs w:val="24"/>
        </w:rPr>
        <w:t xml:space="preserve">the </w:t>
      </w:r>
      <w:r w:rsidR="00914CFE">
        <w:rPr>
          <w:rStyle w:val="ui-provider"/>
          <w:rFonts w:ascii="Segoe UI" w:hAnsi="Segoe UI" w:cs="Segoe UI"/>
          <w:sz w:val="24"/>
          <w:szCs w:val="24"/>
        </w:rPr>
        <w:t xml:space="preserve">bounding </w:t>
      </w:r>
      <w:r w:rsidR="00526783">
        <w:rPr>
          <w:rStyle w:val="ui-provider"/>
          <w:rFonts w:ascii="Segoe UI" w:hAnsi="Segoe UI" w:cs="Segoe UI"/>
          <w:sz w:val="24"/>
          <w:szCs w:val="24"/>
        </w:rPr>
        <w:t>2009 PPE</w:t>
      </w:r>
      <w:r w:rsidR="004B2CAB">
        <w:rPr>
          <w:rStyle w:val="ui-provider"/>
          <w:rFonts w:ascii="Segoe UI" w:hAnsi="Segoe UI" w:cs="Segoe UI"/>
          <w:sz w:val="24"/>
          <w:szCs w:val="24"/>
        </w:rPr>
        <w:t xml:space="preserve"> </w:t>
      </w:r>
      <w:r w:rsidR="00914CFE">
        <w:rPr>
          <w:rStyle w:val="ui-provider"/>
          <w:rFonts w:ascii="Segoe UI" w:hAnsi="Segoe UI" w:cs="Segoe UI"/>
          <w:sz w:val="24"/>
          <w:szCs w:val="24"/>
        </w:rPr>
        <w:t>accepted by the Government of Canada</w:t>
      </w:r>
      <w:r w:rsidR="00526783">
        <w:rPr>
          <w:rStyle w:val="ui-provider"/>
          <w:rFonts w:ascii="Segoe UI" w:hAnsi="Segoe UI" w:cs="Segoe UI"/>
          <w:sz w:val="24"/>
          <w:szCs w:val="24"/>
        </w:rPr>
        <w:t xml:space="preserve">. </w:t>
      </w:r>
    </w:p>
    <w:p w14:paraId="15055BAD" w14:textId="77777777" w:rsidR="00725959" w:rsidRDefault="00725959" w:rsidP="008656BE">
      <w:pPr>
        <w:pStyle w:val="ListParagraph"/>
        <w:rPr>
          <w:rFonts w:ascii="Segoe UI" w:hAnsi="Segoe UI" w:cs="Segoe UI"/>
          <w:sz w:val="24"/>
          <w:szCs w:val="24"/>
        </w:rPr>
      </w:pPr>
    </w:p>
    <w:p w14:paraId="1ADD10BE" w14:textId="77777777" w:rsidR="00A3465F" w:rsidRPr="00437FCE" w:rsidRDefault="00A3465F" w:rsidP="00A3465F">
      <w:pPr>
        <w:pStyle w:val="ListParagraph"/>
        <w:spacing w:after="0"/>
        <w:jc w:val="both"/>
        <w:rPr>
          <w:rFonts w:ascii="Segoe UI" w:hAnsi="Segoe UI" w:cs="Segoe UI"/>
          <w:sz w:val="24"/>
          <w:szCs w:val="24"/>
        </w:rPr>
      </w:pPr>
    </w:p>
    <w:p w14:paraId="41C45CAD" w14:textId="57882721" w:rsidR="00FC38FE" w:rsidRDefault="008A3678" w:rsidP="000F6A1D">
      <w:pPr>
        <w:spacing w:after="0"/>
        <w:jc w:val="both"/>
        <w:rPr>
          <w:rFonts w:ascii="Segoe UI" w:hAnsi="Segoe UI" w:cs="Segoe UI"/>
          <w:sz w:val="24"/>
          <w:szCs w:val="24"/>
        </w:rPr>
      </w:pPr>
      <w:r>
        <w:rPr>
          <w:rFonts w:ascii="Segoe UI" w:hAnsi="Segoe UI" w:cs="Segoe UI"/>
          <w:sz w:val="24"/>
          <w:szCs w:val="24"/>
          <w:shd w:val="clear" w:color="auto" w:fill="FFFFFF"/>
        </w:rPr>
        <w:t xml:space="preserve">OPG </w:t>
      </w:r>
      <w:r w:rsidR="00502AD0">
        <w:rPr>
          <w:rFonts w:ascii="Segoe UI" w:hAnsi="Segoe UI" w:cs="Segoe UI"/>
          <w:sz w:val="24"/>
          <w:szCs w:val="24"/>
          <w:shd w:val="clear" w:color="auto" w:fill="FFFFFF"/>
        </w:rPr>
        <w:t xml:space="preserve">concluded </w:t>
      </w:r>
      <w:r w:rsidR="00F803F3" w:rsidRPr="00F803F3">
        <w:rPr>
          <w:rFonts w:ascii="Segoe UI" w:hAnsi="Segoe UI" w:cs="Segoe UI"/>
          <w:sz w:val="24"/>
          <w:szCs w:val="24"/>
          <w:shd w:val="clear" w:color="auto" w:fill="FFFFFF"/>
        </w:rPr>
        <w:t>that the BWRX-300 remains within the bounds of the approved environmental assessment</w:t>
      </w:r>
      <w:r w:rsidR="00526783">
        <w:rPr>
          <w:rFonts w:ascii="Segoe UI" w:hAnsi="Segoe UI" w:cs="Segoe UI"/>
          <w:sz w:val="24"/>
          <w:szCs w:val="24"/>
          <w:shd w:val="clear" w:color="auto" w:fill="FFFFFF"/>
        </w:rPr>
        <w:t>, addressing JRP recommendation 1</w:t>
      </w:r>
      <w:r w:rsidR="00F803F3" w:rsidRPr="00F803F3">
        <w:rPr>
          <w:rFonts w:ascii="Segoe UI" w:hAnsi="Segoe UI" w:cs="Segoe UI"/>
          <w:sz w:val="24"/>
          <w:szCs w:val="24"/>
        </w:rPr>
        <w:t xml:space="preserve">. </w:t>
      </w:r>
      <w:r w:rsidR="006A50C4">
        <w:rPr>
          <w:rFonts w:ascii="Segoe UI" w:hAnsi="Segoe UI" w:cs="Segoe UI"/>
          <w:sz w:val="24"/>
          <w:szCs w:val="24"/>
        </w:rPr>
        <w:t>Both</w:t>
      </w:r>
      <w:r w:rsidR="00437FCE" w:rsidRPr="00437FCE">
        <w:rPr>
          <w:rFonts w:ascii="Segoe UI" w:hAnsi="Segoe UI" w:cs="Segoe UI"/>
          <w:sz w:val="24"/>
          <w:szCs w:val="24"/>
        </w:rPr>
        <w:t xml:space="preserve"> documents </w:t>
      </w:r>
      <w:r w:rsidR="00EC2C8E">
        <w:rPr>
          <w:rFonts w:ascii="Segoe UI" w:hAnsi="Segoe UI" w:cs="Segoe UI"/>
          <w:sz w:val="24"/>
          <w:szCs w:val="24"/>
        </w:rPr>
        <w:t>were</w:t>
      </w:r>
      <w:r w:rsidR="00B154E3">
        <w:rPr>
          <w:rFonts w:ascii="Segoe UI" w:hAnsi="Segoe UI" w:cs="Segoe UI"/>
          <w:sz w:val="24"/>
          <w:szCs w:val="24"/>
        </w:rPr>
        <w:t xml:space="preserve"> made available</w:t>
      </w:r>
      <w:r w:rsidR="00437FCE" w:rsidRPr="00437FCE">
        <w:rPr>
          <w:rFonts w:ascii="Segoe UI" w:hAnsi="Segoe UI" w:cs="Segoe UI"/>
          <w:sz w:val="24"/>
          <w:szCs w:val="24"/>
        </w:rPr>
        <w:t xml:space="preserve"> on </w:t>
      </w:r>
      <w:r w:rsidR="00437FCE" w:rsidRPr="00B154E3">
        <w:rPr>
          <w:rFonts w:ascii="Segoe UI" w:hAnsi="Segoe UI" w:cs="Segoe UI"/>
          <w:i/>
          <w:iCs/>
          <w:sz w:val="24"/>
          <w:szCs w:val="24"/>
        </w:rPr>
        <w:t>Let</w:t>
      </w:r>
      <w:r w:rsidR="00725959">
        <w:rPr>
          <w:rFonts w:ascii="Segoe UI" w:hAnsi="Segoe UI" w:cs="Segoe UI"/>
          <w:i/>
          <w:iCs/>
          <w:sz w:val="24"/>
          <w:szCs w:val="24"/>
        </w:rPr>
        <w:t>’</w:t>
      </w:r>
      <w:r w:rsidR="00437FCE" w:rsidRPr="00B154E3">
        <w:rPr>
          <w:rFonts w:ascii="Segoe UI" w:hAnsi="Segoe UI" w:cs="Segoe UI"/>
          <w:i/>
          <w:iCs/>
          <w:sz w:val="24"/>
          <w:szCs w:val="24"/>
        </w:rPr>
        <w:t>s Talk Nuclear Safety</w:t>
      </w:r>
      <w:r w:rsidR="00437FCE" w:rsidRPr="00437FCE">
        <w:rPr>
          <w:rFonts w:ascii="Segoe UI" w:hAnsi="Segoe UI" w:cs="Segoe UI"/>
          <w:sz w:val="24"/>
          <w:szCs w:val="24"/>
        </w:rPr>
        <w:t xml:space="preserve"> for public review and comment </w:t>
      </w:r>
      <w:r w:rsidR="00A10959">
        <w:rPr>
          <w:rFonts w:ascii="Segoe UI" w:hAnsi="Segoe UI" w:cs="Segoe UI"/>
          <w:sz w:val="24"/>
          <w:szCs w:val="24"/>
        </w:rPr>
        <w:t xml:space="preserve">between </w:t>
      </w:r>
      <w:r w:rsidR="00526783">
        <w:rPr>
          <w:rFonts w:ascii="Segoe UI" w:hAnsi="Segoe UI" w:cs="Segoe UI"/>
          <w:sz w:val="24"/>
          <w:szCs w:val="24"/>
        </w:rPr>
        <w:t>December</w:t>
      </w:r>
      <w:r w:rsidR="00A10959">
        <w:rPr>
          <w:rFonts w:ascii="Segoe UI" w:hAnsi="Segoe UI" w:cs="Segoe UI"/>
          <w:sz w:val="24"/>
          <w:szCs w:val="24"/>
        </w:rPr>
        <w:t xml:space="preserve"> 2022 and</w:t>
      </w:r>
      <w:r w:rsidR="00437FCE" w:rsidRPr="00437FCE">
        <w:rPr>
          <w:rFonts w:ascii="Segoe UI" w:hAnsi="Segoe UI" w:cs="Segoe UI"/>
          <w:sz w:val="24"/>
          <w:szCs w:val="24"/>
        </w:rPr>
        <w:t xml:space="preserve"> March 2023. Participant funding was also made available by the CNSC under its Participant Funding Program </w:t>
      </w:r>
      <w:r w:rsidR="00A10959">
        <w:rPr>
          <w:rFonts w:ascii="Segoe UI" w:hAnsi="Segoe UI" w:cs="Segoe UI"/>
          <w:sz w:val="24"/>
          <w:szCs w:val="24"/>
        </w:rPr>
        <w:t xml:space="preserve">between </w:t>
      </w:r>
      <w:r w:rsidR="00526783">
        <w:rPr>
          <w:rFonts w:ascii="Segoe UI" w:hAnsi="Segoe UI" w:cs="Segoe UI"/>
          <w:sz w:val="24"/>
          <w:szCs w:val="24"/>
        </w:rPr>
        <w:t xml:space="preserve">January </w:t>
      </w:r>
      <w:r w:rsidR="00A10959">
        <w:rPr>
          <w:rFonts w:ascii="Segoe UI" w:hAnsi="Segoe UI" w:cs="Segoe UI"/>
          <w:sz w:val="24"/>
          <w:szCs w:val="24"/>
        </w:rPr>
        <w:t>202</w:t>
      </w:r>
      <w:r w:rsidR="00526783">
        <w:rPr>
          <w:rFonts w:ascii="Segoe UI" w:hAnsi="Segoe UI" w:cs="Segoe UI"/>
          <w:sz w:val="24"/>
          <w:szCs w:val="24"/>
        </w:rPr>
        <w:t>3</w:t>
      </w:r>
      <w:r w:rsidR="00A10959">
        <w:rPr>
          <w:rFonts w:ascii="Segoe UI" w:hAnsi="Segoe UI" w:cs="Segoe UI"/>
          <w:sz w:val="24"/>
          <w:szCs w:val="24"/>
        </w:rPr>
        <w:t xml:space="preserve"> and March 2023 </w:t>
      </w:r>
      <w:r w:rsidR="00437FCE" w:rsidRPr="00437FCE">
        <w:rPr>
          <w:rFonts w:ascii="Segoe UI" w:hAnsi="Segoe UI" w:cs="Segoe UI"/>
          <w:sz w:val="24"/>
          <w:szCs w:val="24"/>
        </w:rPr>
        <w:t>to assist members of the public, Indigenous Nations and communities, and stakeholders in reviewing the two documents</w:t>
      </w:r>
      <w:r w:rsidR="006A50C4">
        <w:rPr>
          <w:rFonts w:ascii="Segoe UI" w:hAnsi="Segoe UI" w:cs="Segoe UI"/>
          <w:sz w:val="24"/>
          <w:szCs w:val="24"/>
        </w:rPr>
        <w:t xml:space="preserve">. </w:t>
      </w:r>
    </w:p>
    <w:p w14:paraId="79A7F0DF" w14:textId="77777777" w:rsidR="00FC38FE" w:rsidRDefault="00FC38FE" w:rsidP="000F6A1D">
      <w:pPr>
        <w:spacing w:after="0"/>
        <w:jc w:val="both"/>
        <w:rPr>
          <w:rFonts w:ascii="Segoe UI" w:hAnsi="Segoe UI" w:cs="Segoe UI"/>
          <w:sz w:val="24"/>
          <w:szCs w:val="24"/>
        </w:rPr>
      </w:pPr>
    </w:p>
    <w:p w14:paraId="10BBE274" w14:textId="23B57603" w:rsidR="00A10959" w:rsidRDefault="006A50C4" w:rsidP="000F6A1D">
      <w:pPr>
        <w:spacing w:after="0"/>
        <w:jc w:val="both"/>
        <w:rPr>
          <w:rFonts w:ascii="Segoe UI" w:hAnsi="Segoe UI" w:cs="Segoe UI"/>
          <w:sz w:val="24"/>
          <w:szCs w:val="24"/>
        </w:rPr>
      </w:pPr>
      <w:r>
        <w:rPr>
          <w:rFonts w:ascii="Segoe UI" w:hAnsi="Segoe UI" w:cs="Segoe UI"/>
          <w:sz w:val="24"/>
          <w:szCs w:val="24"/>
        </w:rPr>
        <w:t>The CNSC received a total of 188 comments through</w:t>
      </w:r>
      <w:r w:rsidR="00725959">
        <w:rPr>
          <w:rFonts w:ascii="Segoe UI" w:hAnsi="Segoe UI" w:cs="Segoe UI"/>
          <w:sz w:val="24"/>
          <w:szCs w:val="24"/>
        </w:rPr>
        <w:t xml:space="preserve"> email and</w:t>
      </w:r>
      <w:r>
        <w:rPr>
          <w:rFonts w:ascii="Segoe UI" w:hAnsi="Segoe UI" w:cs="Segoe UI"/>
          <w:sz w:val="24"/>
          <w:szCs w:val="24"/>
        </w:rPr>
        <w:t xml:space="preserve"> </w:t>
      </w:r>
      <w:r w:rsidRPr="001C086E">
        <w:rPr>
          <w:rFonts w:ascii="Segoe UI" w:hAnsi="Segoe UI" w:cs="Segoe UI"/>
          <w:i/>
          <w:iCs/>
          <w:sz w:val="24"/>
          <w:szCs w:val="24"/>
        </w:rPr>
        <w:t>Let’s Talk Nuclear Safety</w:t>
      </w:r>
      <w:r>
        <w:rPr>
          <w:rFonts w:ascii="Segoe UI" w:hAnsi="Segoe UI" w:cs="Segoe UI"/>
          <w:sz w:val="24"/>
          <w:szCs w:val="24"/>
        </w:rPr>
        <w:t xml:space="preserve"> </w:t>
      </w:r>
      <w:r w:rsidR="00A10959">
        <w:rPr>
          <w:rFonts w:ascii="Segoe UI" w:hAnsi="Segoe UI" w:cs="Segoe UI"/>
          <w:sz w:val="24"/>
          <w:szCs w:val="24"/>
        </w:rPr>
        <w:t>that focused on the following thematic areas</w:t>
      </w:r>
      <w:r w:rsidR="005864DB">
        <w:rPr>
          <w:rFonts w:ascii="Segoe UI" w:hAnsi="Segoe UI" w:cs="Segoe UI"/>
          <w:sz w:val="24"/>
          <w:szCs w:val="24"/>
        </w:rPr>
        <w:t>, some of which over-lap</w:t>
      </w:r>
      <w:r w:rsidR="00A10959">
        <w:rPr>
          <w:rFonts w:ascii="Segoe UI" w:hAnsi="Segoe UI" w:cs="Segoe UI"/>
          <w:sz w:val="24"/>
          <w:szCs w:val="24"/>
        </w:rPr>
        <w:t>:</w:t>
      </w:r>
    </w:p>
    <w:p w14:paraId="4A6A8F5A" w14:textId="77777777" w:rsidR="00A10959" w:rsidRDefault="00A10959" w:rsidP="000F6A1D">
      <w:pPr>
        <w:spacing w:after="0"/>
        <w:jc w:val="both"/>
        <w:rPr>
          <w:rFonts w:ascii="Segoe UI" w:hAnsi="Segoe UI" w:cs="Segoe UI"/>
          <w:sz w:val="24"/>
          <w:szCs w:val="24"/>
        </w:rPr>
      </w:pPr>
    </w:p>
    <w:tbl>
      <w:tblPr>
        <w:tblStyle w:val="GridTable1Light-Accent1"/>
        <w:tblW w:w="0" w:type="auto"/>
        <w:tblLook w:val="04A0" w:firstRow="1" w:lastRow="0" w:firstColumn="1" w:lastColumn="0" w:noHBand="0" w:noVBand="1"/>
      </w:tblPr>
      <w:tblGrid>
        <w:gridCol w:w="6385"/>
        <w:gridCol w:w="2965"/>
      </w:tblGrid>
      <w:tr w:rsidR="00A10959" w14:paraId="492B7CE6" w14:textId="77777777" w:rsidTr="00A1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3D85E835" w14:textId="494F3E29" w:rsidR="00A10959" w:rsidRDefault="00A10959" w:rsidP="000F6A1D">
            <w:pPr>
              <w:jc w:val="both"/>
              <w:rPr>
                <w:rFonts w:ascii="Segoe UI" w:hAnsi="Segoe UI" w:cs="Segoe UI"/>
                <w:sz w:val="24"/>
                <w:szCs w:val="24"/>
              </w:rPr>
            </w:pPr>
            <w:r>
              <w:rPr>
                <w:rFonts w:ascii="Segoe UI" w:hAnsi="Segoe UI" w:cs="Segoe UI"/>
                <w:sz w:val="24"/>
                <w:szCs w:val="24"/>
              </w:rPr>
              <w:t>THEME</w:t>
            </w:r>
          </w:p>
        </w:tc>
        <w:tc>
          <w:tcPr>
            <w:tcW w:w="2965" w:type="dxa"/>
          </w:tcPr>
          <w:p w14:paraId="552A0C6C" w14:textId="4EA15F44" w:rsidR="00A10959" w:rsidRDefault="00A10959" w:rsidP="000F6A1D">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Pr>
                <w:rFonts w:ascii="Segoe UI" w:hAnsi="Segoe UI" w:cs="Segoe UI"/>
                <w:sz w:val="24"/>
                <w:szCs w:val="24"/>
              </w:rPr>
              <w:t>Number of Comments</w:t>
            </w:r>
          </w:p>
        </w:tc>
      </w:tr>
      <w:tr w:rsidR="00A10959" w14:paraId="7671AD73" w14:textId="77777777" w:rsidTr="00A10959">
        <w:tc>
          <w:tcPr>
            <w:cnfStyle w:val="001000000000" w:firstRow="0" w:lastRow="0" w:firstColumn="1" w:lastColumn="0" w:oddVBand="0" w:evenVBand="0" w:oddHBand="0" w:evenHBand="0" w:firstRowFirstColumn="0" w:firstRowLastColumn="0" w:lastRowFirstColumn="0" w:lastRowLastColumn="0"/>
            <w:tcW w:w="6385" w:type="dxa"/>
          </w:tcPr>
          <w:p w14:paraId="24637273" w14:textId="088F31FA" w:rsidR="00A10959" w:rsidRPr="00965786" w:rsidRDefault="00A10959" w:rsidP="000F6A1D">
            <w:pPr>
              <w:jc w:val="both"/>
              <w:rPr>
                <w:rFonts w:ascii="Segoe UI" w:hAnsi="Segoe UI" w:cs="Segoe UI"/>
                <w:b w:val="0"/>
                <w:bCs w:val="0"/>
              </w:rPr>
            </w:pPr>
            <w:r w:rsidRPr="00965786">
              <w:rPr>
                <w:rFonts w:ascii="Segoe UI" w:hAnsi="Segoe UI" w:cs="Segoe UI"/>
                <w:b w:val="0"/>
                <w:bCs w:val="0"/>
              </w:rPr>
              <w:t>Design &amp; Analysis</w:t>
            </w:r>
          </w:p>
        </w:tc>
        <w:tc>
          <w:tcPr>
            <w:tcW w:w="2965" w:type="dxa"/>
          </w:tcPr>
          <w:p w14:paraId="162A7907" w14:textId="6C395B03" w:rsidR="00A10959" w:rsidRPr="00A10959" w:rsidRDefault="00A10959" w:rsidP="000F6A1D">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10959">
              <w:rPr>
                <w:rFonts w:ascii="Segoe UI" w:hAnsi="Segoe UI" w:cs="Segoe UI"/>
              </w:rPr>
              <w:t>26</w:t>
            </w:r>
          </w:p>
        </w:tc>
      </w:tr>
      <w:tr w:rsidR="00A10959" w14:paraId="1DD7E818" w14:textId="77777777" w:rsidTr="00A10959">
        <w:tc>
          <w:tcPr>
            <w:cnfStyle w:val="001000000000" w:firstRow="0" w:lastRow="0" w:firstColumn="1" w:lastColumn="0" w:oddVBand="0" w:evenVBand="0" w:oddHBand="0" w:evenHBand="0" w:firstRowFirstColumn="0" w:firstRowLastColumn="0" w:lastRowFirstColumn="0" w:lastRowLastColumn="0"/>
            <w:tcW w:w="6385" w:type="dxa"/>
          </w:tcPr>
          <w:p w14:paraId="0217FF8E" w14:textId="0DC39999" w:rsidR="00A10959" w:rsidRPr="00965786" w:rsidRDefault="00A10959" w:rsidP="000F6A1D">
            <w:pPr>
              <w:jc w:val="both"/>
              <w:rPr>
                <w:rFonts w:ascii="Segoe UI" w:hAnsi="Segoe UI" w:cs="Segoe UI"/>
                <w:b w:val="0"/>
                <w:bCs w:val="0"/>
              </w:rPr>
            </w:pPr>
            <w:r w:rsidRPr="00965786">
              <w:rPr>
                <w:rFonts w:ascii="Segoe UI" w:hAnsi="Segoe UI" w:cs="Segoe UI"/>
                <w:b w:val="0"/>
                <w:bCs w:val="0"/>
              </w:rPr>
              <w:t>Effluents &amp; Releases</w:t>
            </w:r>
          </w:p>
        </w:tc>
        <w:tc>
          <w:tcPr>
            <w:tcW w:w="2965" w:type="dxa"/>
          </w:tcPr>
          <w:p w14:paraId="6DB397EA" w14:textId="23E845A5" w:rsidR="00A10959" w:rsidRPr="00A10959" w:rsidRDefault="00A10959" w:rsidP="000F6A1D">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10959">
              <w:rPr>
                <w:rFonts w:ascii="Segoe UI" w:hAnsi="Segoe UI" w:cs="Segoe UI"/>
              </w:rPr>
              <w:t>7</w:t>
            </w:r>
          </w:p>
        </w:tc>
      </w:tr>
      <w:tr w:rsidR="00A10959" w14:paraId="4BC333FA" w14:textId="77777777" w:rsidTr="00A10959">
        <w:tc>
          <w:tcPr>
            <w:cnfStyle w:val="001000000000" w:firstRow="0" w:lastRow="0" w:firstColumn="1" w:lastColumn="0" w:oddVBand="0" w:evenVBand="0" w:oddHBand="0" w:evenHBand="0" w:firstRowFirstColumn="0" w:firstRowLastColumn="0" w:lastRowFirstColumn="0" w:lastRowLastColumn="0"/>
            <w:tcW w:w="6385" w:type="dxa"/>
          </w:tcPr>
          <w:p w14:paraId="7EEFA37A" w14:textId="6867BFD4" w:rsidR="00A10959" w:rsidRPr="00965786" w:rsidRDefault="00A10959" w:rsidP="000F6A1D">
            <w:pPr>
              <w:jc w:val="both"/>
              <w:rPr>
                <w:rFonts w:ascii="Segoe UI" w:hAnsi="Segoe UI" w:cs="Segoe UI"/>
                <w:b w:val="0"/>
                <w:bCs w:val="0"/>
              </w:rPr>
            </w:pPr>
            <w:r w:rsidRPr="00965786">
              <w:rPr>
                <w:rFonts w:ascii="Segoe UI" w:hAnsi="Segoe UI" w:cs="Segoe UI"/>
                <w:b w:val="0"/>
                <w:bCs w:val="0"/>
              </w:rPr>
              <w:t>Emergency Management</w:t>
            </w:r>
          </w:p>
        </w:tc>
        <w:tc>
          <w:tcPr>
            <w:tcW w:w="2965" w:type="dxa"/>
          </w:tcPr>
          <w:p w14:paraId="4A5F7974" w14:textId="2CA25C7B" w:rsidR="00A10959" w:rsidRPr="00A10959" w:rsidRDefault="00A10959" w:rsidP="000F6A1D">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10959">
              <w:rPr>
                <w:rFonts w:ascii="Segoe UI" w:hAnsi="Segoe UI" w:cs="Segoe UI"/>
              </w:rPr>
              <w:t>16</w:t>
            </w:r>
          </w:p>
        </w:tc>
      </w:tr>
      <w:tr w:rsidR="00A10959" w14:paraId="760ED09C" w14:textId="77777777" w:rsidTr="00A10959">
        <w:tc>
          <w:tcPr>
            <w:cnfStyle w:val="001000000000" w:firstRow="0" w:lastRow="0" w:firstColumn="1" w:lastColumn="0" w:oddVBand="0" w:evenVBand="0" w:oddHBand="0" w:evenHBand="0" w:firstRowFirstColumn="0" w:firstRowLastColumn="0" w:lastRowFirstColumn="0" w:lastRowLastColumn="0"/>
            <w:tcW w:w="6385" w:type="dxa"/>
          </w:tcPr>
          <w:p w14:paraId="1AADD9AF" w14:textId="4AEA3FEC" w:rsidR="00A10959" w:rsidRPr="00965786" w:rsidRDefault="00A10959" w:rsidP="000F6A1D">
            <w:pPr>
              <w:jc w:val="both"/>
              <w:rPr>
                <w:rFonts w:ascii="Segoe UI" w:hAnsi="Segoe UI" w:cs="Segoe UI"/>
                <w:b w:val="0"/>
                <w:bCs w:val="0"/>
              </w:rPr>
            </w:pPr>
            <w:r w:rsidRPr="00965786">
              <w:rPr>
                <w:rFonts w:ascii="Segoe UI" w:hAnsi="Segoe UI" w:cs="Segoe UI"/>
                <w:b w:val="0"/>
                <w:bCs w:val="0"/>
              </w:rPr>
              <w:t>Environmental Effects &amp; Risk Assessments</w:t>
            </w:r>
          </w:p>
        </w:tc>
        <w:tc>
          <w:tcPr>
            <w:tcW w:w="2965" w:type="dxa"/>
          </w:tcPr>
          <w:p w14:paraId="1A84DC94" w14:textId="1B8BB99A" w:rsidR="00A10959" w:rsidRPr="00A10959" w:rsidRDefault="00A10959" w:rsidP="000F6A1D">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10959">
              <w:rPr>
                <w:rFonts w:ascii="Segoe UI" w:hAnsi="Segoe UI" w:cs="Segoe UI"/>
              </w:rPr>
              <w:t>49</w:t>
            </w:r>
          </w:p>
        </w:tc>
      </w:tr>
      <w:tr w:rsidR="00A10959" w14:paraId="5B56A6CE" w14:textId="77777777" w:rsidTr="00A10959">
        <w:tc>
          <w:tcPr>
            <w:cnfStyle w:val="001000000000" w:firstRow="0" w:lastRow="0" w:firstColumn="1" w:lastColumn="0" w:oddVBand="0" w:evenVBand="0" w:oddHBand="0" w:evenHBand="0" w:firstRowFirstColumn="0" w:firstRowLastColumn="0" w:lastRowFirstColumn="0" w:lastRowLastColumn="0"/>
            <w:tcW w:w="6385" w:type="dxa"/>
          </w:tcPr>
          <w:p w14:paraId="3165EF60" w14:textId="60508602" w:rsidR="00A10959" w:rsidRPr="00965786" w:rsidRDefault="00A10959" w:rsidP="000F6A1D">
            <w:pPr>
              <w:jc w:val="both"/>
              <w:rPr>
                <w:rFonts w:ascii="Segoe UI" w:hAnsi="Segoe UI" w:cs="Segoe UI"/>
                <w:b w:val="0"/>
                <w:bCs w:val="0"/>
              </w:rPr>
            </w:pPr>
            <w:r w:rsidRPr="00965786">
              <w:rPr>
                <w:rFonts w:ascii="Segoe UI" w:hAnsi="Segoe UI" w:cs="Segoe UI"/>
                <w:b w:val="0"/>
                <w:bCs w:val="0"/>
              </w:rPr>
              <w:t>Radiological Dose</w:t>
            </w:r>
          </w:p>
        </w:tc>
        <w:tc>
          <w:tcPr>
            <w:tcW w:w="2965" w:type="dxa"/>
          </w:tcPr>
          <w:p w14:paraId="2E9D15B6" w14:textId="35331234" w:rsidR="00A10959" w:rsidRPr="00A10959" w:rsidRDefault="00A10959" w:rsidP="000F6A1D">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10959">
              <w:rPr>
                <w:rFonts w:ascii="Segoe UI" w:hAnsi="Segoe UI" w:cs="Segoe UI"/>
              </w:rPr>
              <w:t>8</w:t>
            </w:r>
          </w:p>
        </w:tc>
      </w:tr>
      <w:tr w:rsidR="00A10959" w14:paraId="6C84119E" w14:textId="77777777" w:rsidTr="00A10959">
        <w:tc>
          <w:tcPr>
            <w:cnfStyle w:val="001000000000" w:firstRow="0" w:lastRow="0" w:firstColumn="1" w:lastColumn="0" w:oddVBand="0" w:evenVBand="0" w:oddHBand="0" w:evenHBand="0" w:firstRowFirstColumn="0" w:firstRowLastColumn="0" w:lastRowFirstColumn="0" w:lastRowLastColumn="0"/>
            <w:tcW w:w="6385" w:type="dxa"/>
          </w:tcPr>
          <w:p w14:paraId="264A15D0" w14:textId="4F8B3536" w:rsidR="00A10959" w:rsidRPr="00965786" w:rsidRDefault="00A10959" w:rsidP="000F6A1D">
            <w:pPr>
              <w:jc w:val="both"/>
              <w:rPr>
                <w:rFonts w:ascii="Segoe UI" w:hAnsi="Segoe UI" w:cs="Segoe UI"/>
                <w:b w:val="0"/>
                <w:bCs w:val="0"/>
              </w:rPr>
            </w:pPr>
            <w:r w:rsidRPr="00965786">
              <w:rPr>
                <w:rFonts w:ascii="Segoe UI" w:hAnsi="Segoe UI" w:cs="Segoe UI"/>
                <w:b w:val="0"/>
                <w:bCs w:val="0"/>
              </w:rPr>
              <w:t>Wastes</w:t>
            </w:r>
          </w:p>
        </w:tc>
        <w:tc>
          <w:tcPr>
            <w:tcW w:w="2965" w:type="dxa"/>
          </w:tcPr>
          <w:p w14:paraId="03339266" w14:textId="65F1154E" w:rsidR="00A10959" w:rsidRPr="00A10959" w:rsidRDefault="00A10959" w:rsidP="000F6A1D">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10959">
              <w:rPr>
                <w:rFonts w:ascii="Segoe UI" w:hAnsi="Segoe UI" w:cs="Segoe UI"/>
              </w:rPr>
              <w:t>28</w:t>
            </w:r>
          </w:p>
        </w:tc>
      </w:tr>
      <w:tr w:rsidR="00A10959" w14:paraId="4787526F" w14:textId="77777777" w:rsidTr="00A10959">
        <w:tc>
          <w:tcPr>
            <w:cnfStyle w:val="001000000000" w:firstRow="0" w:lastRow="0" w:firstColumn="1" w:lastColumn="0" w:oddVBand="0" w:evenVBand="0" w:oddHBand="0" w:evenHBand="0" w:firstRowFirstColumn="0" w:firstRowLastColumn="0" w:lastRowFirstColumn="0" w:lastRowLastColumn="0"/>
            <w:tcW w:w="6385" w:type="dxa"/>
          </w:tcPr>
          <w:p w14:paraId="21A4CDF1" w14:textId="5276116B" w:rsidR="00A10959" w:rsidRPr="00965786" w:rsidRDefault="00A10959" w:rsidP="000F6A1D">
            <w:pPr>
              <w:jc w:val="both"/>
              <w:rPr>
                <w:rFonts w:ascii="Segoe UI" w:hAnsi="Segoe UI" w:cs="Segoe UI"/>
                <w:b w:val="0"/>
                <w:bCs w:val="0"/>
              </w:rPr>
            </w:pPr>
            <w:r w:rsidRPr="00965786">
              <w:rPr>
                <w:rFonts w:ascii="Segoe UI" w:hAnsi="Segoe UI" w:cs="Segoe UI"/>
                <w:b w:val="0"/>
                <w:bCs w:val="0"/>
              </w:rPr>
              <w:t>Safeguards</w:t>
            </w:r>
          </w:p>
        </w:tc>
        <w:tc>
          <w:tcPr>
            <w:tcW w:w="2965" w:type="dxa"/>
          </w:tcPr>
          <w:p w14:paraId="4A7D648D" w14:textId="6CCB5044" w:rsidR="00A10959" w:rsidRPr="00A10959" w:rsidRDefault="00A10959" w:rsidP="000F6A1D">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10959">
              <w:rPr>
                <w:rFonts w:ascii="Segoe UI" w:hAnsi="Segoe UI" w:cs="Segoe UI"/>
              </w:rPr>
              <w:t>1</w:t>
            </w:r>
          </w:p>
        </w:tc>
      </w:tr>
      <w:tr w:rsidR="00A10959" w14:paraId="70306009" w14:textId="77777777" w:rsidTr="00A10959">
        <w:tc>
          <w:tcPr>
            <w:cnfStyle w:val="001000000000" w:firstRow="0" w:lastRow="0" w:firstColumn="1" w:lastColumn="0" w:oddVBand="0" w:evenVBand="0" w:oddHBand="0" w:evenHBand="0" w:firstRowFirstColumn="0" w:firstRowLastColumn="0" w:lastRowFirstColumn="0" w:lastRowLastColumn="0"/>
            <w:tcW w:w="6385" w:type="dxa"/>
          </w:tcPr>
          <w:p w14:paraId="2D7244AB" w14:textId="0A8039C5" w:rsidR="00A10959" w:rsidRPr="00965786" w:rsidRDefault="00A10959" w:rsidP="000F6A1D">
            <w:pPr>
              <w:jc w:val="both"/>
              <w:rPr>
                <w:rFonts w:ascii="Segoe UI" w:hAnsi="Segoe UI" w:cs="Segoe UI"/>
                <w:b w:val="0"/>
                <w:bCs w:val="0"/>
              </w:rPr>
            </w:pPr>
            <w:r w:rsidRPr="00965786">
              <w:rPr>
                <w:rFonts w:ascii="Segoe UI" w:hAnsi="Segoe UI" w:cs="Segoe UI"/>
                <w:b w:val="0"/>
                <w:bCs w:val="0"/>
              </w:rPr>
              <w:t>Hazards Assessment</w:t>
            </w:r>
          </w:p>
        </w:tc>
        <w:tc>
          <w:tcPr>
            <w:tcW w:w="2965" w:type="dxa"/>
          </w:tcPr>
          <w:p w14:paraId="13C10D85" w14:textId="4ED32601" w:rsidR="00A10959" w:rsidRPr="00A10959" w:rsidRDefault="00A10959" w:rsidP="000F6A1D">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10959">
              <w:rPr>
                <w:rFonts w:ascii="Segoe UI" w:hAnsi="Segoe UI" w:cs="Segoe UI"/>
              </w:rPr>
              <w:t>8</w:t>
            </w:r>
          </w:p>
        </w:tc>
      </w:tr>
      <w:tr w:rsidR="00A10959" w14:paraId="0E3C87C3" w14:textId="77777777" w:rsidTr="00A10959">
        <w:tc>
          <w:tcPr>
            <w:cnfStyle w:val="001000000000" w:firstRow="0" w:lastRow="0" w:firstColumn="1" w:lastColumn="0" w:oddVBand="0" w:evenVBand="0" w:oddHBand="0" w:evenHBand="0" w:firstRowFirstColumn="0" w:firstRowLastColumn="0" w:lastRowFirstColumn="0" w:lastRowLastColumn="0"/>
            <w:tcW w:w="6385" w:type="dxa"/>
          </w:tcPr>
          <w:p w14:paraId="0AE1265E" w14:textId="0388E12C" w:rsidR="00A10959" w:rsidRPr="00965786" w:rsidRDefault="00A10959" w:rsidP="000F6A1D">
            <w:pPr>
              <w:jc w:val="both"/>
              <w:rPr>
                <w:rFonts w:ascii="Segoe UI" w:hAnsi="Segoe UI" w:cs="Segoe UI"/>
                <w:b w:val="0"/>
                <w:bCs w:val="0"/>
              </w:rPr>
            </w:pPr>
            <w:r w:rsidRPr="00965786">
              <w:rPr>
                <w:rFonts w:ascii="Segoe UI" w:hAnsi="Segoe UI" w:cs="Segoe UI"/>
                <w:b w:val="0"/>
                <w:bCs w:val="0"/>
              </w:rPr>
              <w:t>Licensing</w:t>
            </w:r>
          </w:p>
        </w:tc>
        <w:tc>
          <w:tcPr>
            <w:tcW w:w="2965" w:type="dxa"/>
          </w:tcPr>
          <w:p w14:paraId="7A89A99B" w14:textId="00F74C49" w:rsidR="00A10959" w:rsidRPr="00A10959" w:rsidRDefault="00A10959" w:rsidP="000F6A1D">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10959">
              <w:rPr>
                <w:rFonts w:ascii="Segoe UI" w:hAnsi="Segoe UI" w:cs="Segoe UI"/>
              </w:rPr>
              <w:t>13</w:t>
            </w:r>
          </w:p>
        </w:tc>
      </w:tr>
      <w:tr w:rsidR="00A10959" w14:paraId="5E0134A9" w14:textId="77777777" w:rsidTr="00A10959">
        <w:tc>
          <w:tcPr>
            <w:cnfStyle w:val="001000000000" w:firstRow="0" w:lastRow="0" w:firstColumn="1" w:lastColumn="0" w:oddVBand="0" w:evenVBand="0" w:oddHBand="0" w:evenHBand="0" w:firstRowFirstColumn="0" w:firstRowLastColumn="0" w:lastRowFirstColumn="0" w:lastRowLastColumn="0"/>
            <w:tcW w:w="6385" w:type="dxa"/>
          </w:tcPr>
          <w:p w14:paraId="4330FF68" w14:textId="256A526C" w:rsidR="00A10959" w:rsidRPr="00965786" w:rsidRDefault="00A10959" w:rsidP="000F6A1D">
            <w:pPr>
              <w:jc w:val="both"/>
              <w:rPr>
                <w:rFonts w:ascii="Segoe UI" w:hAnsi="Segoe UI" w:cs="Segoe UI"/>
                <w:b w:val="0"/>
                <w:bCs w:val="0"/>
              </w:rPr>
            </w:pPr>
            <w:r w:rsidRPr="00965786">
              <w:rPr>
                <w:rFonts w:ascii="Segoe UI" w:hAnsi="Segoe UI" w:cs="Segoe UI"/>
                <w:b w:val="0"/>
                <w:bCs w:val="0"/>
              </w:rPr>
              <w:t>General</w:t>
            </w:r>
          </w:p>
        </w:tc>
        <w:tc>
          <w:tcPr>
            <w:tcW w:w="2965" w:type="dxa"/>
          </w:tcPr>
          <w:p w14:paraId="49C32221" w14:textId="5074F765" w:rsidR="00A10959" w:rsidRPr="00A10959" w:rsidRDefault="00A10959" w:rsidP="000F6A1D">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10959">
              <w:rPr>
                <w:rFonts w:ascii="Segoe UI" w:hAnsi="Segoe UI" w:cs="Segoe UI"/>
              </w:rPr>
              <w:t>28</w:t>
            </w:r>
          </w:p>
        </w:tc>
      </w:tr>
      <w:tr w:rsidR="00A10959" w14:paraId="3C82A0F7" w14:textId="77777777" w:rsidTr="00A10959">
        <w:tc>
          <w:tcPr>
            <w:cnfStyle w:val="001000000000" w:firstRow="0" w:lastRow="0" w:firstColumn="1" w:lastColumn="0" w:oddVBand="0" w:evenVBand="0" w:oddHBand="0" w:evenHBand="0" w:firstRowFirstColumn="0" w:firstRowLastColumn="0" w:lastRowFirstColumn="0" w:lastRowLastColumn="0"/>
            <w:tcW w:w="6385" w:type="dxa"/>
          </w:tcPr>
          <w:p w14:paraId="6F4E2E14" w14:textId="7A8D6723" w:rsidR="00A10959" w:rsidRPr="00A10959" w:rsidRDefault="00A10959" w:rsidP="000F6A1D">
            <w:pPr>
              <w:jc w:val="both"/>
              <w:rPr>
                <w:rFonts w:ascii="Segoe UI" w:hAnsi="Segoe UI" w:cs="Segoe UI"/>
              </w:rPr>
            </w:pPr>
            <w:r w:rsidRPr="00A10959">
              <w:rPr>
                <w:rFonts w:ascii="Segoe UI" w:hAnsi="Segoe UI" w:cs="Segoe UI"/>
              </w:rPr>
              <w:t>TOTAL</w:t>
            </w:r>
          </w:p>
        </w:tc>
        <w:tc>
          <w:tcPr>
            <w:tcW w:w="2965" w:type="dxa"/>
          </w:tcPr>
          <w:p w14:paraId="254AAAAE" w14:textId="1737C1ED" w:rsidR="00A10959" w:rsidRPr="00965786" w:rsidRDefault="00A10959" w:rsidP="000F6A1D">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bCs/>
              </w:rPr>
            </w:pPr>
            <w:r w:rsidRPr="00965786">
              <w:rPr>
                <w:rFonts w:ascii="Segoe UI" w:hAnsi="Segoe UI" w:cs="Segoe UI"/>
                <w:b/>
                <w:bCs/>
              </w:rPr>
              <w:t>188</w:t>
            </w:r>
          </w:p>
        </w:tc>
      </w:tr>
    </w:tbl>
    <w:p w14:paraId="64C4C63B" w14:textId="347A1109" w:rsidR="00B72933" w:rsidRDefault="006A50C4" w:rsidP="00B10B31">
      <w:pPr>
        <w:spacing w:after="0"/>
        <w:jc w:val="both"/>
        <w:rPr>
          <w:rFonts w:ascii="Segoe UI" w:hAnsi="Segoe UI" w:cs="Segoe UI"/>
          <w:sz w:val="24"/>
          <w:szCs w:val="24"/>
        </w:rPr>
      </w:pPr>
      <w:r>
        <w:rPr>
          <w:rFonts w:ascii="Segoe UI" w:hAnsi="Segoe UI" w:cs="Segoe UI"/>
          <w:sz w:val="24"/>
          <w:szCs w:val="24"/>
        </w:rPr>
        <w:t xml:space="preserve"> </w:t>
      </w:r>
    </w:p>
    <w:p w14:paraId="49EC42D0" w14:textId="021E54D8" w:rsidR="00310D86" w:rsidRDefault="00310D86" w:rsidP="00B10B31">
      <w:pPr>
        <w:spacing w:after="0"/>
        <w:jc w:val="both"/>
        <w:rPr>
          <w:rFonts w:ascii="Segoe UI" w:hAnsi="Segoe UI" w:cs="Segoe UI"/>
          <w:sz w:val="24"/>
          <w:szCs w:val="24"/>
        </w:rPr>
      </w:pPr>
      <w:r>
        <w:rPr>
          <w:rFonts w:ascii="Segoe UI" w:hAnsi="Segoe UI" w:cs="Segoe UI"/>
          <w:sz w:val="24"/>
          <w:szCs w:val="24"/>
        </w:rPr>
        <w:t xml:space="preserve">All the comments </w:t>
      </w:r>
      <w:r w:rsidR="00334A1A">
        <w:rPr>
          <w:rFonts w:ascii="Segoe UI" w:hAnsi="Segoe UI" w:cs="Segoe UI"/>
          <w:sz w:val="24"/>
          <w:szCs w:val="24"/>
        </w:rPr>
        <w:t>received through the CNSC’s Participant Funding Program can be found in Annex B.</w:t>
      </w:r>
    </w:p>
    <w:p w14:paraId="0E93F375" w14:textId="77777777" w:rsidR="00310D86" w:rsidRPr="00B10B31" w:rsidRDefault="00310D86" w:rsidP="00B10B31">
      <w:pPr>
        <w:spacing w:after="0"/>
        <w:jc w:val="both"/>
        <w:rPr>
          <w:rFonts w:ascii="Segoe UI" w:hAnsi="Segoe UI" w:cs="Segoe UI"/>
          <w:sz w:val="24"/>
          <w:szCs w:val="24"/>
        </w:rPr>
      </w:pPr>
    </w:p>
    <w:p w14:paraId="716DE095" w14:textId="1EACD82D" w:rsidR="00B42311" w:rsidRPr="00B42311" w:rsidRDefault="00CC19A9" w:rsidP="00F73D0C">
      <w:pPr>
        <w:rPr>
          <w:rFonts w:ascii="Segoe UI" w:hAnsi="Segoe UI" w:cs="Segoe UI"/>
          <w:b/>
          <w:bCs/>
          <w:sz w:val="36"/>
          <w:szCs w:val="36"/>
          <w:lang w:val="en-US"/>
        </w:rPr>
      </w:pPr>
      <w:r>
        <w:rPr>
          <w:rFonts w:ascii="Segoe UI" w:hAnsi="Segoe UI" w:cs="Segoe UI"/>
          <w:b/>
          <w:bCs/>
          <w:sz w:val="36"/>
          <w:szCs w:val="36"/>
          <w:lang w:val="en-US"/>
        </w:rPr>
        <w:t>The Workshop</w:t>
      </w:r>
    </w:p>
    <w:p w14:paraId="2E2C5890" w14:textId="1C3D9CD5" w:rsidR="00FC38FE" w:rsidRPr="006B71DE" w:rsidRDefault="005F5E8F" w:rsidP="00377045">
      <w:pPr>
        <w:jc w:val="both"/>
      </w:pPr>
      <w:r w:rsidRPr="006B71DE">
        <w:rPr>
          <w:rFonts w:ascii="Segoe UI" w:hAnsi="Segoe UI" w:cs="Segoe UI"/>
          <w:sz w:val="24"/>
          <w:szCs w:val="24"/>
        </w:rPr>
        <w:t>The purpose of the workshop was threefold: 1) to engage participants on OPG’s PPE Report and EIS Review Report; 2)</w:t>
      </w:r>
      <w:r w:rsidR="008A1D7B">
        <w:rPr>
          <w:rFonts w:ascii="Segoe UI" w:hAnsi="Segoe UI" w:cs="Segoe UI"/>
          <w:sz w:val="24"/>
          <w:szCs w:val="24"/>
        </w:rPr>
        <w:t xml:space="preserve"> to</w:t>
      </w:r>
      <w:r w:rsidRPr="006B71DE">
        <w:rPr>
          <w:rFonts w:ascii="Segoe UI" w:hAnsi="Segoe UI" w:cs="Segoe UI"/>
          <w:sz w:val="24"/>
          <w:szCs w:val="24"/>
        </w:rPr>
        <w:t xml:space="preserve"> provide </w:t>
      </w:r>
      <w:r w:rsidR="008353F2">
        <w:rPr>
          <w:rFonts w:ascii="Segoe UI" w:hAnsi="Segoe UI" w:cs="Segoe UI"/>
          <w:sz w:val="24"/>
          <w:szCs w:val="24"/>
        </w:rPr>
        <w:t xml:space="preserve">participants </w:t>
      </w:r>
      <w:r w:rsidRPr="006B71DE">
        <w:rPr>
          <w:rFonts w:ascii="Segoe UI" w:hAnsi="Segoe UI" w:cs="Segoe UI"/>
          <w:sz w:val="24"/>
          <w:szCs w:val="24"/>
        </w:rPr>
        <w:t>a transpar</w:t>
      </w:r>
      <w:r w:rsidR="00647292" w:rsidRPr="006B71DE">
        <w:rPr>
          <w:rFonts w:ascii="Segoe UI" w:hAnsi="Segoe UI" w:cs="Segoe UI"/>
          <w:sz w:val="24"/>
          <w:szCs w:val="24"/>
        </w:rPr>
        <w:t xml:space="preserve">ent view </w:t>
      </w:r>
      <w:r w:rsidRPr="006B71DE">
        <w:rPr>
          <w:rFonts w:ascii="Segoe UI" w:hAnsi="Segoe UI" w:cs="Segoe UI"/>
          <w:sz w:val="24"/>
          <w:szCs w:val="24"/>
        </w:rPr>
        <w:t>of the</w:t>
      </w:r>
      <w:r w:rsidR="00647292" w:rsidRPr="006B71DE">
        <w:rPr>
          <w:rFonts w:ascii="Segoe UI" w:hAnsi="Segoe UI" w:cs="Segoe UI"/>
          <w:sz w:val="24"/>
          <w:szCs w:val="24"/>
        </w:rPr>
        <w:t xml:space="preserve"> </w:t>
      </w:r>
      <w:r w:rsidR="00F4685B">
        <w:rPr>
          <w:rFonts w:ascii="Segoe UI" w:hAnsi="Segoe UI" w:cs="Segoe UI"/>
          <w:sz w:val="24"/>
          <w:szCs w:val="24"/>
        </w:rPr>
        <w:t xml:space="preserve">activities undertaken as part of </w:t>
      </w:r>
      <w:r w:rsidR="00647292" w:rsidRPr="006B71DE">
        <w:rPr>
          <w:rFonts w:ascii="Segoe UI" w:hAnsi="Segoe UI" w:cs="Segoe UI"/>
          <w:sz w:val="24"/>
          <w:szCs w:val="24"/>
        </w:rPr>
        <w:t>CNSC’s</w:t>
      </w:r>
      <w:r w:rsidRPr="006B71DE">
        <w:rPr>
          <w:rFonts w:ascii="Segoe UI" w:hAnsi="Segoe UI" w:cs="Segoe UI"/>
          <w:sz w:val="24"/>
          <w:szCs w:val="24"/>
        </w:rPr>
        <w:t xml:space="preserve"> licen</w:t>
      </w:r>
      <w:r w:rsidR="008A1D7B">
        <w:rPr>
          <w:rFonts w:ascii="Segoe UI" w:hAnsi="Segoe UI" w:cs="Segoe UI"/>
          <w:sz w:val="24"/>
          <w:szCs w:val="24"/>
        </w:rPr>
        <w:t>s</w:t>
      </w:r>
      <w:r w:rsidRPr="006B71DE">
        <w:rPr>
          <w:rFonts w:ascii="Segoe UI" w:hAnsi="Segoe UI" w:cs="Segoe UI"/>
          <w:sz w:val="24"/>
          <w:szCs w:val="24"/>
        </w:rPr>
        <w:t xml:space="preserve">ing review process </w:t>
      </w:r>
      <w:r w:rsidR="00820D11">
        <w:rPr>
          <w:rFonts w:ascii="Segoe UI" w:hAnsi="Segoe UI" w:cs="Segoe UI"/>
          <w:sz w:val="24"/>
          <w:szCs w:val="24"/>
        </w:rPr>
        <w:t>in advance of the Commission proceedings</w:t>
      </w:r>
      <w:r w:rsidR="00647292" w:rsidRPr="006B71DE">
        <w:rPr>
          <w:rFonts w:ascii="Segoe UI" w:hAnsi="Segoe UI" w:cs="Segoe UI"/>
          <w:sz w:val="24"/>
          <w:szCs w:val="24"/>
        </w:rPr>
        <w:t xml:space="preserve"> and; 3) </w:t>
      </w:r>
      <w:r w:rsidR="008A1D7B">
        <w:rPr>
          <w:rFonts w:ascii="Segoe UI" w:hAnsi="Segoe UI" w:cs="Segoe UI"/>
          <w:sz w:val="24"/>
          <w:szCs w:val="24"/>
        </w:rPr>
        <w:t xml:space="preserve">to </w:t>
      </w:r>
      <w:r w:rsidR="00647292" w:rsidRPr="006B71DE">
        <w:rPr>
          <w:rFonts w:ascii="Segoe UI" w:hAnsi="Segoe UI" w:cs="Segoe UI"/>
          <w:sz w:val="24"/>
          <w:szCs w:val="24"/>
        </w:rPr>
        <w:t>g</w:t>
      </w:r>
      <w:r w:rsidRPr="006B71DE">
        <w:rPr>
          <w:rFonts w:ascii="Segoe UI" w:hAnsi="Segoe UI" w:cs="Segoe UI"/>
          <w:sz w:val="24"/>
          <w:szCs w:val="24"/>
        </w:rPr>
        <w:t xml:space="preserve">ather feedback early in the licensing process to help CNSC </w:t>
      </w:r>
      <w:r w:rsidR="008353F2">
        <w:rPr>
          <w:rFonts w:ascii="Segoe UI" w:hAnsi="Segoe UI" w:cs="Segoe UI"/>
          <w:sz w:val="24"/>
          <w:szCs w:val="24"/>
        </w:rPr>
        <w:t xml:space="preserve">staff </w:t>
      </w:r>
      <w:r w:rsidRPr="006B71DE">
        <w:rPr>
          <w:rFonts w:ascii="Segoe UI" w:hAnsi="Segoe UI" w:cs="Segoe UI"/>
          <w:sz w:val="24"/>
          <w:szCs w:val="24"/>
        </w:rPr>
        <w:t xml:space="preserve">better understand </w:t>
      </w:r>
      <w:r w:rsidR="00647292" w:rsidRPr="006B71DE">
        <w:rPr>
          <w:rFonts w:ascii="Segoe UI" w:hAnsi="Segoe UI" w:cs="Segoe UI"/>
          <w:sz w:val="24"/>
          <w:szCs w:val="24"/>
        </w:rPr>
        <w:t>participant concerns</w:t>
      </w:r>
      <w:r w:rsidRPr="006B71DE">
        <w:rPr>
          <w:rFonts w:ascii="Segoe UI" w:hAnsi="Segoe UI" w:cs="Segoe UI"/>
          <w:sz w:val="24"/>
          <w:szCs w:val="24"/>
        </w:rPr>
        <w:t>.</w:t>
      </w:r>
      <w:r w:rsidR="006B71DE" w:rsidRPr="006B71DE">
        <w:rPr>
          <w:rFonts w:ascii="Segoe UI" w:hAnsi="Segoe UI" w:cs="Segoe UI"/>
          <w:sz w:val="24"/>
          <w:szCs w:val="24"/>
        </w:rPr>
        <w:t xml:space="preserve"> Feedback received during the public consultation will be taken into consideration during CNSC</w:t>
      </w:r>
      <w:r w:rsidR="008353F2">
        <w:rPr>
          <w:rFonts w:ascii="Segoe UI" w:hAnsi="Segoe UI" w:cs="Segoe UI"/>
          <w:sz w:val="24"/>
          <w:szCs w:val="24"/>
        </w:rPr>
        <w:t xml:space="preserve"> staff</w:t>
      </w:r>
      <w:r w:rsidR="006B71DE" w:rsidRPr="006B71DE">
        <w:rPr>
          <w:rFonts w:ascii="Segoe UI" w:hAnsi="Segoe UI" w:cs="Segoe UI"/>
          <w:sz w:val="24"/>
          <w:szCs w:val="24"/>
        </w:rPr>
        <w:t xml:space="preserve">’s </w:t>
      </w:r>
      <w:r w:rsidR="00820D11">
        <w:rPr>
          <w:rFonts w:ascii="Segoe UI" w:hAnsi="Segoe UI" w:cs="Segoe UI"/>
          <w:sz w:val="24"/>
          <w:szCs w:val="24"/>
        </w:rPr>
        <w:t xml:space="preserve">technical </w:t>
      </w:r>
      <w:r w:rsidR="006B71DE" w:rsidRPr="006B71DE">
        <w:rPr>
          <w:rFonts w:ascii="Segoe UI" w:hAnsi="Segoe UI" w:cs="Segoe UI"/>
          <w:sz w:val="24"/>
          <w:szCs w:val="24"/>
        </w:rPr>
        <w:t xml:space="preserve">review </w:t>
      </w:r>
      <w:r w:rsidR="004B5BBA">
        <w:rPr>
          <w:rFonts w:ascii="Segoe UI" w:hAnsi="Segoe UI" w:cs="Segoe UI"/>
          <w:sz w:val="24"/>
          <w:szCs w:val="24"/>
        </w:rPr>
        <w:t>for the u</w:t>
      </w:r>
      <w:r w:rsidR="006B71DE" w:rsidRPr="006B71DE">
        <w:rPr>
          <w:rFonts w:ascii="Segoe UI" w:hAnsi="Segoe UI" w:cs="Segoe UI"/>
          <w:sz w:val="24"/>
          <w:szCs w:val="24"/>
        </w:rPr>
        <w:t>pcoming Commission proceedings.</w:t>
      </w:r>
      <w:r w:rsidR="006B71DE" w:rsidRPr="006B71DE">
        <w:rPr>
          <w:sz w:val="24"/>
          <w:szCs w:val="24"/>
        </w:rPr>
        <w:t xml:space="preserve"> </w:t>
      </w:r>
    </w:p>
    <w:p w14:paraId="61ACE1B8" w14:textId="4E8ED1F8" w:rsidR="005F5E8F" w:rsidRDefault="00377045" w:rsidP="00377045">
      <w:pPr>
        <w:jc w:val="both"/>
        <w:rPr>
          <w:rFonts w:ascii="Segoe UI" w:hAnsi="Segoe UI" w:cs="Segoe UI"/>
          <w:sz w:val="24"/>
          <w:szCs w:val="24"/>
        </w:rPr>
      </w:pPr>
      <w:r w:rsidRPr="00377045">
        <w:rPr>
          <w:rFonts w:ascii="Segoe UI" w:hAnsi="Segoe UI" w:cs="Segoe UI"/>
          <w:sz w:val="24"/>
          <w:szCs w:val="24"/>
        </w:rPr>
        <w:t xml:space="preserve">The </w:t>
      </w:r>
      <w:r w:rsidR="00C44B42">
        <w:rPr>
          <w:rFonts w:ascii="Segoe UI" w:hAnsi="Segoe UI" w:cs="Segoe UI"/>
          <w:sz w:val="24"/>
          <w:szCs w:val="24"/>
        </w:rPr>
        <w:t xml:space="preserve">full-day, </w:t>
      </w:r>
      <w:r w:rsidR="00B46FDF">
        <w:rPr>
          <w:rFonts w:ascii="Segoe UI" w:hAnsi="Segoe UI" w:cs="Segoe UI"/>
          <w:sz w:val="24"/>
          <w:szCs w:val="24"/>
        </w:rPr>
        <w:t xml:space="preserve">virtual </w:t>
      </w:r>
      <w:r w:rsidRPr="00377045">
        <w:rPr>
          <w:rFonts w:ascii="Segoe UI" w:hAnsi="Segoe UI" w:cs="Segoe UI"/>
          <w:sz w:val="24"/>
          <w:szCs w:val="24"/>
        </w:rPr>
        <w:t>workshop</w:t>
      </w:r>
      <w:r w:rsidR="00B46FDF">
        <w:rPr>
          <w:rFonts w:ascii="Segoe UI" w:hAnsi="Segoe UI" w:cs="Segoe UI"/>
          <w:sz w:val="24"/>
          <w:szCs w:val="24"/>
        </w:rPr>
        <w:t xml:space="preserve"> </w:t>
      </w:r>
      <w:r w:rsidRPr="00377045">
        <w:rPr>
          <w:rFonts w:ascii="Segoe UI" w:hAnsi="Segoe UI" w:cs="Segoe UI"/>
          <w:sz w:val="24"/>
          <w:szCs w:val="24"/>
        </w:rPr>
        <w:t xml:space="preserve">welcomed over 17 participants </w:t>
      </w:r>
      <w:r w:rsidR="008A1D7B">
        <w:rPr>
          <w:rFonts w:ascii="Segoe UI" w:hAnsi="Segoe UI" w:cs="Segoe UI"/>
          <w:sz w:val="24"/>
          <w:szCs w:val="24"/>
        </w:rPr>
        <w:t xml:space="preserve">representing </w:t>
      </w:r>
      <w:r w:rsidRPr="00377045">
        <w:rPr>
          <w:rFonts w:ascii="Segoe UI" w:hAnsi="Segoe UI" w:cs="Segoe UI"/>
          <w:sz w:val="24"/>
          <w:szCs w:val="24"/>
        </w:rPr>
        <w:t xml:space="preserve">the Canadian Environmental Law Association, the Nuclear Transparency Project, Canadian Coalition for Nuclear Responsibility, Northwatch, Durham Nuclear Health Committee, </w:t>
      </w:r>
      <w:proofErr w:type="spellStart"/>
      <w:r w:rsidRPr="00377045">
        <w:rPr>
          <w:rFonts w:ascii="Segoe UI" w:hAnsi="Segoe UI" w:cs="Segoe UI"/>
          <w:sz w:val="24"/>
          <w:szCs w:val="24"/>
        </w:rPr>
        <w:t>Mississaugas</w:t>
      </w:r>
      <w:proofErr w:type="spellEnd"/>
      <w:r w:rsidRPr="00377045">
        <w:rPr>
          <w:rFonts w:ascii="Segoe UI" w:hAnsi="Segoe UI" w:cs="Segoe UI"/>
          <w:sz w:val="24"/>
          <w:szCs w:val="24"/>
        </w:rPr>
        <w:t xml:space="preserve"> of Scugog Island First Nation, Six Nations of Grand River, Curve Lake First Nation, Hiawatha First Nation, the Radiation Safety Institute of Canada, and the Mayor of the Municipality of Clarington.</w:t>
      </w:r>
      <w:r w:rsidR="00772E08">
        <w:rPr>
          <w:rFonts w:ascii="Segoe UI" w:hAnsi="Segoe UI" w:cs="Segoe UI"/>
          <w:sz w:val="24"/>
          <w:szCs w:val="24"/>
        </w:rPr>
        <w:t xml:space="preserve"> </w:t>
      </w:r>
      <w:r w:rsidR="008B750A">
        <w:rPr>
          <w:rFonts w:ascii="Segoe UI" w:hAnsi="Segoe UI" w:cs="Segoe UI"/>
          <w:sz w:val="24"/>
          <w:szCs w:val="24"/>
        </w:rPr>
        <w:t xml:space="preserve">Staff </w:t>
      </w:r>
      <w:r w:rsidR="00A02264">
        <w:rPr>
          <w:rFonts w:ascii="Segoe UI" w:hAnsi="Segoe UI" w:cs="Segoe UI"/>
          <w:sz w:val="24"/>
          <w:szCs w:val="24"/>
        </w:rPr>
        <w:t>from Environmental and Climate Change Canada and the Fisheries and Oceans Canada, OPG, and technical specialists from the CNSC</w:t>
      </w:r>
      <w:r w:rsidR="004B2CAB">
        <w:rPr>
          <w:rFonts w:ascii="Segoe UI" w:hAnsi="Segoe UI" w:cs="Segoe UI"/>
          <w:sz w:val="24"/>
          <w:szCs w:val="24"/>
        </w:rPr>
        <w:t xml:space="preserve"> also attended</w:t>
      </w:r>
      <w:r w:rsidR="00A02264">
        <w:rPr>
          <w:rFonts w:ascii="Segoe UI" w:hAnsi="Segoe UI" w:cs="Segoe UI"/>
          <w:sz w:val="24"/>
          <w:szCs w:val="24"/>
        </w:rPr>
        <w:t>.</w:t>
      </w:r>
    </w:p>
    <w:p w14:paraId="1CB30A32" w14:textId="57D73DF0" w:rsidR="00CC19A9" w:rsidRDefault="00041FD3" w:rsidP="009C402A">
      <w:pPr>
        <w:spacing w:before="120" w:after="240"/>
        <w:jc w:val="both"/>
        <w:rPr>
          <w:rFonts w:ascii="Segoe UI" w:hAnsi="Segoe UI" w:cs="Segoe UI"/>
          <w:sz w:val="24"/>
          <w:szCs w:val="24"/>
        </w:rPr>
      </w:pPr>
      <w:r>
        <w:rPr>
          <w:rFonts w:ascii="Segoe UI" w:hAnsi="Segoe UI" w:cs="Segoe UI"/>
          <w:sz w:val="24"/>
          <w:szCs w:val="24"/>
        </w:rPr>
        <w:t xml:space="preserve">In </w:t>
      </w:r>
      <w:r w:rsidR="00820D11">
        <w:rPr>
          <w:rFonts w:ascii="Segoe UI" w:hAnsi="Segoe UI" w:cs="Segoe UI"/>
          <w:sz w:val="24"/>
          <w:szCs w:val="24"/>
        </w:rPr>
        <w:t xml:space="preserve">the morning </w:t>
      </w:r>
      <w:r>
        <w:rPr>
          <w:rFonts w:ascii="Segoe UI" w:hAnsi="Segoe UI" w:cs="Segoe UI"/>
          <w:sz w:val="24"/>
          <w:szCs w:val="24"/>
        </w:rPr>
        <w:t>of the workshop</w:t>
      </w:r>
      <w:r w:rsidR="00526783">
        <w:rPr>
          <w:rFonts w:ascii="Segoe UI" w:hAnsi="Segoe UI" w:cs="Segoe UI"/>
          <w:sz w:val="24"/>
          <w:szCs w:val="24"/>
        </w:rPr>
        <w:t>,</w:t>
      </w:r>
      <w:r>
        <w:rPr>
          <w:rFonts w:ascii="Segoe UI" w:hAnsi="Segoe UI" w:cs="Segoe UI"/>
          <w:sz w:val="24"/>
          <w:szCs w:val="24"/>
        </w:rPr>
        <w:t xml:space="preserve"> </w:t>
      </w:r>
      <w:r w:rsidR="00CC19A9" w:rsidRPr="009C402A">
        <w:rPr>
          <w:rFonts w:ascii="Segoe UI" w:hAnsi="Segoe UI" w:cs="Segoe UI"/>
          <w:sz w:val="24"/>
          <w:szCs w:val="24"/>
        </w:rPr>
        <w:t xml:space="preserve">OPG </w:t>
      </w:r>
      <w:r w:rsidR="00820D11">
        <w:rPr>
          <w:rFonts w:ascii="Segoe UI" w:hAnsi="Segoe UI" w:cs="Segoe UI"/>
          <w:sz w:val="24"/>
          <w:szCs w:val="24"/>
        </w:rPr>
        <w:t xml:space="preserve">introduced </w:t>
      </w:r>
      <w:r w:rsidR="002F62DA">
        <w:rPr>
          <w:rFonts w:ascii="Segoe UI" w:hAnsi="Segoe UI" w:cs="Segoe UI"/>
          <w:sz w:val="24"/>
          <w:szCs w:val="24"/>
        </w:rPr>
        <w:t>the DNNP and a summar</w:t>
      </w:r>
      <w:r w:rsidR="00820D11">
        <w:rPr>
          <w:rFonts w:ascii="Segoe UI" w:hAnsi="Segoe UI" w:cs="Segoe UI"/>
          <w:sz w:val="24"/>
          <w:szCs w:val="24"/>
        </w:rPr>
        <w:t>y</w:t>
      </w:r>
      <w:r w:rsidR="002F62DA">
        <w:rPr>
          <w:rFonts w:ascii="Segoe UI" w:hAnsi="Segoe UI" w:cs="Segoe UI"/>
          <w:sz w:val="24"/>
          <w:szCs w:val="24"/>
        </w:rPr>
        <w:t xml:space="preserve"> of results </w:t>
      </w:r>
      <w:r w:rsidR="008353F2">
        <w:rPr>
          <w:rFonts w:ascii="Segoe UI" w:hAnsi="Segoe UI" w:cs="Segoe UI"/>
          <w:sz w:val="24"/>
          <w:szCs w:val="24"/>
        </w:rPr>
        <w:t xml:space="preserve">from </w:t>
      </w:r>
      <w:r w:rsidR="002F62DA">
        <w:rPr>
          <w:rFonts w:ascii="Segoe UI" w:hAnsi="Segoe UI" w:cs="Segoe UI"/>
          <w:sz w:val="24"/>
          <w:szCs w:val="24"/>
        </w:rPr>
        <w:t xml:space="preserve">the </w:t>
      </w:r>
      <w:r w:rsidR="00526783">
        <w:rPr>
          <w:rFonts w:ascii="Segoe UI" w:hAnsi="Segoe UI" w:cs="Segoe UI"/>
          <w:sz w:val="24"/>
          <w:szCs w:val="24"/>
        </w:rPr>
        <w:t xml:space="preserve">updated </w:t>
      </w:r>
      <w:r w:rsidR="00A96C54">
        <w:rPr>
          <w:rFonts w:ascii="Segoe UI" w:hAnsi="Segoe UI" w:cs="Segoe UI"/>
          <w:sz w:val="24"/>
          <w:szCs w:val="24"/>
        </w:rPr>
        <w:t xml:space="preserve">PPE </w:t>
      </w:r>
      <w:r w:rsidR="00CC19A9" w:rsidRPr="009C402A">
        <w:rPr>
          <w:rFonts w:ascii="Segoe UI" w:hAnsi="Segoe UI" w:cs="Segoe UI"/>
          <w:sz w:val="24"/>
          <w:szCs w:val="24"/>
        </w:rPr>
        <w:t xml:space="preserve">and </w:t>
      </w:r>
      <w:r w:rsidR="00A96C54">
        <w:rPr>
          <w:rFonts w:ascii="Segoe UI" w:hAnsi="Segoe UI" w:cs="Segoe UI"/>
          <w:sz w:val="24"/>
          <w:szCs w:val="24"/>
        </w:rPr>
        <w:t>EIS Review Report</w:t>
      </w:r>
      <w:r w:rsidR="00820D11">
        <w:rPr>
          <w:rFonts w:ascii="Segoe UI" w:hAnsi="Segoe UI" w:cs="Segoe UI"/>
          <w:sz w:val="24"/>
          <w:szCs w:val="24"/>
        </w:rPr>
        <w:t>s</w:t>
      </w:r>
      <w:r w:rsidR="002F62DA">
        <w:rPr>
          <w:rFonts w:ascii="Segoe UI" w:hAnsi="Segoe UI" w:cs="Segoe UI"/>
          <w:sz w:val="24"/>
          <w:szCs w:val="24"/>
        </w:rPr>
        <w:t xml:space="preserve">. </w:t>
      </w:r>
      <w:r>
        <w:rPr>
          <w:rFonts w:ascii="Segoe UI" w:hAnsi="Segoe UI" w:cs="Segoe UI"/>
          <w:sz w:val="24"/>
          <w:szCs w:val="24"/>
        </w:rPr>
        <w:t xml:space="preserve">CNSC </w:t>
      </w:r>
      <w:r w:rsidR="008353F2">
        <w:rPr>
          <w:rFonts w:ascii="Segoe UI" w:hAnsi="Segoe UI" w:cs="Segoe UI"/>
          <w:sz w:val="24"/>
          <w:szCs w:val="24"/>
        </w:rPr>
        <w:t xml:space="preserve">staff </w:t>
      </w:r>
      <w:r w:rsidR="002F62DA">
        <w:rPr>
          <w:rFonts w:ascii="Segoe UI" w:hAnsi="Segoe UI" w:cs="Segoe UI"/>
          <w:sz w:val="24"/>
          <w:szCs w:val="24"/>
        </w:rPr>
        <w:t xml:space="preserve">provided an update on the technical review of </w:t>
      </w:r>
      <w:r w:rsidR="00820D11">
        <w:rPr>
          <w:rFonts w:ascii="Segoe UI" w:hAnsi="Segoe UI" w:cs="Segoe UI"/>
          <w:sz w:val="24"/>
          <w:szCs w:val="24"/>
        </w:rPr>
        <w:t xml:space="preserve">OPG’s </w:t>
      </w:r>
      <w:r w:rsidR="002F62DA">
        <w:rPr>
          <w:rFonts w:ascii="Segoe UI" w:hAnsi="Segoe UI" w:cs="Segoe UI"/>
          <w:sz w:val="24"/>
          <w:szCs w:val="24"/>
        </w:rPr>
        <w:t xml:space="preserve">documents as well as </w:t>
      </w:r>
      <w:r w:rsidR="00820D11">
        <w:rPr>
          <w:rFonts w:ascii="Segoe UI" w:hAnsi="Segoe UI" w:cs="Segoe UI"/>
          <w:sz w:val="24"/>
          <w:szCs w:val="24"/>
        </w:rPr>
        <w:t xml:space="preserve">the licensing timeline for review of OPG’s </w:t>
      </w:r>
      <w:r w:rsidR="004B5BBA">
        <w:rPr>
          <w:rFonts w:ascii="Segoe UI" w:hAnsi="Segoe UI" w:cs="Segoe UI"/>
          <w:sz w:val="24"/>
          <w:szCs w:val="24"/>
        </w:rPr>
        <w:t>l</w:t>
      </w:r>
      <w:r w:rsidR="00CC19A9" w:rsidRPr="009C402A">
        <w:rPr>
          <w:rFonts w:ascii="Segoe UI" w:hAnsi="Segoe UI" w:cs="Segoe UI"/>
          <w:sz w:val="24"/>
          <w:szCs w:val="24"/>
        </w:rPr>
        <w:t xml:space="preserve">icence to </w:t>
      </w:r>
      <w:r w:rsidR="004B5BBA">
        <w:rPr>
          <w:rFonts w:ascii="Segoe UI" w:hAnsi="Segoe UI" w:cs="Segoe UI"/>
          <w:sz w:val="24"/>
          <w:szCs w:val="24"/>
        </w:rPr>
        <w:t>c</w:t>
      </w:r>
      <w:r w:rsidR="00CC19A9" w:rsidRPr="009C402A">
        <w:rPr>
          <w:rFonts w:ascii="Segoe UI" w:hAnsi="Segoe UI" w:cs="Segoe UI"/>
          <w:sz w:val="24"/>
          <w:szCs w:val="24"/>
        </w:rPr>
        <w:t>onstruct application</w:t>
      </w:r>
      <w:r w:rsidR="002F62DA">
        <w:rPr>
          <w:rFonts w:ascii="Segoe UI" w:hAnsi="Segoe UI" w:cs="Segoe UI"/>
          <w:sz w:val="24"/>
          <w:szCs w:val="24"/>
        </w:rPr>
        <w:t>.</w:t>
      </w:r>
      <w:r>
        <w:rPr>
          <w:rFonts w:ascii="Segoe UI" w:hAnsi="Segoe UI" w:cs="Segoe UI"/>
          <w:sz w:val="24"/>
          <w:szCs w:val="24"/>
        </w:rPr>
        <w:t xml:space="preserve"> </w:t>
      </w:r>
      <w:r w:rsidR="002F62DA">
        <w:rPr>
          <w:rFonts w:ascii="Segoe UI" w:hAnsi="Segoe UI" w:cs="Segoe UI"/>
          <w:sz w:val="24"/>
          <w:szCs w:val="24"/>
        </w:rPr>
        <w:t>CNSC</w:t>
      </w:r>
      <w:r w:rsidR="008353F2">
        <w:rPr>
          <w:rFonts w:ascii="Segoe UI" w:hAnsi="Segoe UI" w:cs="Segoe UI"/>
          <w:sz w:val="24"/>
          <w:szCs w:val="24"/>
        </w:rPr>
        <w:t xml:space="preserve"> staff</w:t>
      </w:r>
      <w:r w:rsidR="002F62DA">
        <w:rPr>
          <w:rFonts w:ascii="Segoe UI" w:hAnsi="Segoe UI" w:cs="Segoe UI"/>
          <w:sz w:val="24"/>
          <w:szCs w:val="24"/>
        </w:rPr>
        <w:t xml:space="preserve"> also gave an overview of </w:t>
      </w:r>
      <w:r>
        <w:rPr>
          <w:rFonts w:ascii="Segoe UI" w:hAnsi="Segoe UI" w:cs="Segoe UI"/>
          <w:sz w:val="24"/>
          <w:szCs w:val="24"/>
        </w:rPr>
        <w:t xml:space="preserve">the </w:t>
      </w:r>
      <w:r w:rsidR="002F62DA">
        <w:rPr>
          <w:rFonts w:ascii="Segoe UI" w:hAnsi="Segoe UI" w:cs="Segoe UI"/>
          <w:sz w:val="24"/>
          <w:szCs w:val="24"/>
        </w:rPr>
        <w:t xml:space="preserve">comments received on the </w:t>
      </w:r>
      <w:r w:rsidR="004B5BBA">
        <w:rPr>
          <w:rFonts w:ascii="Segoe UI" w:hAnsi="Segoe UI" w:cs="Segoe UI"/>
          <w:sz w:val="24"/>
          <w:szCs w:val="24"/>
        </w:rPr>
        <w:t>2</w:t>
      </w:r>
      <w:r w:rsidR="002F62DA">
        <w:rPr>
          <w:rFonts w:ascii="Segoe UI" w:hAnsi="Segoe UI" w:cs="Segoe UI"/>
          <w:sz w:val="24"/>
          <w:szCs w:val="24"/>
        </w:rPr>
        <w:t xml:space="preserve"> reports leading up to the workshop, </w:t>
      </w:r>
      <w:r w:rsidR="008B750A">
        <w:rPr>
          <w:rFonts w:ascii="Segoe UI" w:hAnsi="Segoe UI" w:cs="Segoe UI"/>
          <w:sz w:val="24"/>
          <w:szCs w:val="24"/>
        </w:rPr>
        <w:t>and</w:t>
      </w:r>
      <w:r w:rsidR="002F62DA">
        <w:rPr>
          <w:rFonts w:ascii="Segoe UI" w:hAnsi="Segoe UI" w:cs="Segoe UI"/>
          <w:sz w:val="24"/>
          <w:szCs w:val="24"/>
        </w:rPr>
        <w:t xml:space="preserve"> the </w:t>
      </w:r>
      <w:r>
        <w:rPr>
          <w:rFonts w:ascii="Segoe UI" w:hAnsi="Segoe UI" w:cs="Segoe UI"/>
          <w:sz w:val="24"/>
          <w:szCs w:val="24"/>
        </w:rPr>
        <w:t xml:space="preserve">technical comments </w:t>
      </w:r>
      <w:r w:rsidR="00CC19A9" w:rsidRPr="009C402A">
        <w:rPr>
          <w:rFonts w:ascii="Segoe UI" w:hAnsi="Segoe UI" w:cs="Segoe UI"/>
          <w:sz w:val="24"/>
          <w:szCs w:val="24"/>
        </w:rPr>
        <w:t>CNSC</w:t>
      </w:r>
      <w:r>
        <w:rPr>
          <w:rFonts w:ascii="Segoe UI" w:hAnsi="Segoe UI" w:cs="Segoe UI"/>
          <w:sz w:val="24"/>
          <w:szCs w:val="24"/>
        </w:rPr>
        <w:t xml:space="preserve"> </w:t>
      </w:r>
      <w:r w:rsidR="008353F2">
        <w:rPr>
          <w:rFonts w:ascii="Segoe UI" w:hAnsi="Segoe UI" w:cs="Segoe UI"/>
          <w:sz w:val="24"/>
          <w:szCs w:val="24"/>
        </w:rPr>
        <w:t xml:space="preserve">staff </w:t>
      </w:r>
      <w:r w:rsidR="00CC19A9" w:rsidRPr="009C402A">
        <w:rPr>
          <w:rFonts w:ascii="Segoe UI" w:hAnsi="Segoe UI" w:cs="Segoe UI"/>
          <w:sz w:val="24"/>
          <w:szCs w:val="24"/>
        </w:rPr>
        <w:t xml:space="preserve">provided to OPG. </w:t>
      </w:r>
      <w:r w:rsidR="00B72933">
        <w:rPr>
          <w:rFonts w:ascii="Segoe UI" w:hAnsi="Segoe UI" w:cs="Segoe UI"/>
          <w:sz w:val="24"/>
          <w:szCs w:val="24"/>
        </w:rPr>
        <w:t xml:space="preserve">In </w:t>
      </w:r>
      <w:r w:rsidR="00820D11">
        <w:rPr>
          <w:rFonts w:ascii="Segoe UI" w:hAnsi="Segoe UI" w:cs="Segoe UI"/>
          <w:sz w:val="24"/>
          <w:szCs w:val="24"/>
        </w:rPr>
        <w:t xml:space="preserve">the afternoon </w:t>
      </w:r>
      <w:r w:rsidR="00B72933">
        <w:rPr>
          <w:rFonts w:ascii="Segoe UI" w:hAnsi="Segoe UI" w:cs="Segoe UI"/>
          <w:sz w:val="24"/>
          <w:szCs w:val="24"/>
        </w:rPr>
        <w:t>of the workshop</w:t>
      </w:r>
      <w:r w:rsidR="00A96C54">
        <w:rPr>
          <w:rFonts w:ascii="Segoe UI" w:hAnsi="Segoe UI" w:cs="Segoe UI"/>
          <w:sz w:val="24"/>
          <w:szCs w:val="24"/>
        </w:rPr>
        <w:t>,</w:t>
      </w:r>
      <w:r w:rsidR="00B72933">
        <w:rPr>
          <w:rFonts w:ascii="Segoe UI" w:hAnsi="Segoe UI" w:cs="Segoe UI"/>
          <w:sz w:val="24"/>
          <w:szCs w:val="24"/>
        </w:rPr>
        <w:t xml:space="preserve"> CNSC </w:t>
      </w:r>
      <w:r w:rsidR="008353F2">
        <w:rPr>
          <w:rFonts w:ascii="Segoe UI" w:hAnsi="Segoe UI" w:cs="Segoe UI"/>
          <w:sz w:val="24"/>
          <w:szCs w:val="24"/>
        </w:rPr>
        <w:t xml:space="preserve">staff </w:t>
      </w:r>
      <w:r w:rsidR="00A02264">
        <w:rPr>
          <w:rFonts w:ascii="Segoe UI" w:hAnsi="Segoe UI" w:cs="Segoe UI"/>
          <w:sz w:val="24"/>
          <w:szCs w:val="24"/>
        </w:rPr>
        <w:t xml:space="preserve">facilitated an open discussion based on the </w:t>
      </w:r>
      <w:r w:rsidR="002F3374">
        <w:rPr>
          <w:rFonts w:ascii="Segoe UI" w:hAnsi="Segoe UI" w:cs="Segoe UI"/>
          <w:sz w:val="24"/>
          <w:szCs w:val="24"/>
        </w:rPr>
        <w:t>themes that received the most comments, namely:</w:t>
      </w:r>
    </w:p>
    <w:p w14:paraId="507E5546" w14:textId="7F4A147C" w:rsidR="00A02264" w:rsidRDefault="00A02264" w:rsidP="00FA7AEC">
      <w:pPr>
        <w:pStyle w:val="ListParagraph"/>
        <w:numPr>
          <w:ilvl w:val="0"/>
          <w:numId w:val="2"/>
        </w:numPr>
        <w:spacing w:before="120" w:after="240"/>
        <w:jc w:val="both"/>
        <w:rPr>
          <w:rFonts w:ascii="Segoe UI" w:hAnsi="Segoe UI" w:cs="Segoe UI"/>
          <w:sz w:val="24"/>
          <w:szCs w:val="24"/>
        </w:rPr>
      </w:pPr>
      <w:r>
        <w:rPr>
          <w:rFonts w:ascii="Segoe UI" w:hAnsi="Segoe UI" w:cs="Segoe UI"/>
          <w:sz w:val="24"/>
          <w:szCs w:val="24"/>
        </w:rPr>
        <w:t>Environmental Effects and Risks Assessments</w:t>
      </w:r>
    </w:p>
    <w:p w14:paraId="5800E4C9" w14:textId="34976C9F" w:rsidR="00A02264" w:rsidRDefault="00A02264" w:rsidP="00FA7AEC">
      <w:pPr>
        <w:pStyle w:val="ListParagraph"/>
        <w:numPr>
          <w:ilvl w:val="0"/>
          <w:numId w:val="2"/>
        </w:numPr>
        <w:spacing w:before="120" w:after="240"/>
        <w:jc w:val="both"/>
        <w:rPr>
          <w:rFonts w:ascii="Segoe UI" w:hAnsi="Segoe UI" w:cs="Segoe UI"/>
          <w:sz w:val="24"/>
          <w:szCs w:val="24"/>
        </w:rPr>
      </w:pPr>
      <w:r>
        <w:rPr>
          <w:rFonts w:ascii="Segoe UI" w:hAnsi="Segoe UI" w:cs="Segoe UI"/>
          <w:sz w:val="24"/>
          <w:szCs w:val="24"/>
        </w:rPr>
        <w:t>Waste Management and Decommissioning</w:t>
      </w:r>
    </w:p>
    <w:p w14:paraId="302ED67F" w14:textId="06BD39D6" w:rsidR="00F60745" w:rsidRDefault="00F60745" w:rsidP="00FA7AEC">
      <w:pPr>
        <w:pStyle w:val="ListParagraph"/>
        <w:numPr>
          <w:ilvl w:val="0"/>
          <w:numId w:val="2"/>
        </w:numPr>
        <w:spacing w:before="120" w:after="240"/>
        <w:jc w:val="both"/>
        <w:rPr>
          <w:rFonts w:ascii="Segoe UI" w:hAnsi="Segoe UI" w:cs="Segoe UI"/>
          <w:sz w:val="24"/>
          <w:szCs w:val="24"/>
        </w:rPr>
      </w:pPr>
      <w:r>
        <w:rPr>
          <w:rFonts w:ascii="Segoe UI" w:hAnsi="Segoe UI" w:cs="Segoe UI"/>
          <w:sz w:val="24"/>
          <w:szCs w:val="24"/>
        </w:rPr>
        <w:t>Design &amp; Analysis and Hazard Assessment</w:t>
      </w:r>
    </w:p>
    <w:p w14:paraId="16193DF4" w14:textId="77777777" w:rsidR="002F3374" w:rsidRDefault="00A02264" w:rsidP="00FA7AEC">
      <w:pPr>
        <w:pStyle w:val="ListParagraph"/>
        <w:numPr>
          <w:ilvl w:val="0"/>
          <w:numId w:val="2"/>
        </w:numPr>
        <w:spacing w:before="120" w:after="240"/>
        <w:jc w:val="both"/>
        <w:rPr>
          <w:rFonts w:ascii="Segoe UI" w:hAnsi="Segoe UI" w:cs="Segoe UI"/>
          <w:sz w:val="24"/>
          <w:szCs w:val="24"/>
        </w:rPr>
      </w:pPr>
      <w:r>
        <w:rPr>
          <w:rFonts w:ascii="Segoe UI" w:hAnsi="Segoe UI" w:cs="Segoe UI"/>
          <w:sz w:val="24"/>
          <w:szCs w:val="24"/>
        </w:rPr>
        <w:t>Releases, Doses and Emergency Management</w:t>
      </w:r>
    </w:p>
    <w:p w14:paraId="656F1F75" w14:textId="6D6162DF" w:rsidR="00E238EC" w:rsidRPr="002F3374" w:rsidRDefault="00E238EC" w:rsidP="002F3374">
      <w:pPr>
        <w:spacing w:before="120" w:after="240"/>
        <w:jc w:val="both"/>
        <w:rPr>
          <w:rFonts w:ascii="Segoe UI" w:hAnsi="Segoe UI" w:cs="Segoe UI"/>
          <w:sz w:val="24"/>
          <w:szCs w:val="24"/>
        </w:rPr>
      </w:pPr>
      <w:r w:rsidRPr="002F3374">
        <w:rPr>
          <w:rFonts w:ascii="Segoe UI" w:hAnsi="Segoe UI" w:cs="Segoe UI"/>
          <w:sz w:val="24"/>
          <w:szCs w:val="24"/>
        </w:rPr>
        <w:t>These themes were initially to be discussed in thematic break-out rooms, however, after listening to the preferences</w:t>
      </w:r>
      <w:r w:rsidR="007F0D4B">
        <w:rPr>
          <w:rFonts w:ascii="Segoe UI" w:hAnsi="Segoe UI" w:cs="Segoe UI"/>
          <w:sz w:val="24"/>
          <w:szCs w:val="24"/>
        </w:rPr>
        <w:t xml:space="preserve"> and feedback</w:t>
      </w:r>
      <w:r w:rsidRPr="002F3374">
        <w:rPr>
          <w:rFonts w:ascii="Segoe UI" w:hAnsi="Segoe UI" w:cs="Segoe UI"/>
          <w:sz w:val="24"/>
          <w:szCs w:val="24"/>
        </w:rPr>
        <w:t xml:space="preserve"> of the participants</w:t>
      </w:r>
      <w:r w:rsidR="008353F2">
        <w:rPr>
          <w:rFonts w:ascii="Segoe UI" w:hAnsi="Segoe UI" w:cs="Segoe UI"/>
          <w:sz w:val="24"/>
          <w:szCs w:val="24"/>
        </w:rPr>
        <w:t xml:space="preserve"> for how they wanted to be engaged</w:t>
      </w:r>
      <w:r w:rsidRPr="002F3374">
        <w:rPr>
          <w:rFonts w:ascii="Segoe UI" w:hAnsi="Segoe UI" w:cs="Segoe UI"/>
          <w:sz w:val="24"/>
          <w:szCs w:val="24"/>
        </w:rPr>
        <w:t xml:space="preserve">, these topics were discussed in an open forum with all </w:t>
      </w:r>
      <w:r w:rsidR="002439FC">
        <w:rPr>
          <w:rFonts w:ascii="Segoe UI" w:hAnsi="Segoe UI" w:cs="Segoe UI"/>
          <w:sz w:val="24"/>
          <w:szCs w:val="24"/>
        </w:rPr>
        <w:t>in attendance</w:t>
      </w:r>
      <w:r w:rsidRPr="002F3374">
        <w:rPr>
          <w:rFonts w:ascii="Segoe UI" w:hAnsi="Segoe UI" w:cs="Segoe UI"/>
          <w:sz w:val="24"/>
          <w:szCs w:val="24"/>
        </w:rPr>
        <w:t>.</w:t>
      </w:r>
      <w:r w:rsidR="00ED2030" w:rsidRPr="002F3374">
        <w:rPr>
          <w:rFonts w:ascii="Segoe UI" w:hAnsi="Segoe UI" w:cs="Segoe UI"/>
          <w:sz w:val="24"/>
          <w:szCs w:val="24"/>
        </w:rPr>
        <w:t xml:space="preserve"> </w:t>
      </w:r>
    </w:p>
    <w:p w14:paraId="657BD659" w14:textId="4888633E" w:rsidR="00A02264" w:rsidRDefault="003C054D" w:rsidP="00024FD3">
      <w:pPr>
        <w:spacing w:before="120" w:after="240"/>
        <w:jc w:val="both"/>
        <w:rPr>
          <w:rFonts w:ascii="Segoe UI" w:hAnsi="Segoe UI" w:cs="Segoe UI"/>
          <w:b/>
          <w:bCs/>
          <w:sz w:val="36"/>
          <w:szCs w:val="36"/>
        </w:rPr>
      </w:pPr>
      <w:r w:rsidRPr="003C054D">
        <w:rPr>
          <w:rFonts w:ascii="Segoe UI" w:hAnsi="Segoe UI" w:cs="Segoe UI"/>
          <w:b/>
          <w:bCs/>
          <w:sz w:val="36"/>
          <w:szCs w:val="36"/>
        </w:rPr>
        <w:t>What We Heard</w:t>
      </w:r>
    </w:p>
    <w:p w14:paraId="0A65527A" w14:textId="6BE8B604" w:rsidR="00361B9E" w:rsidRPr="00361B9E" w:rsidRDefault="00361B9E" w:rsidP="00F60745">
      <w:pPr>
        <w:jc w:val="both"/>
        <w:rPr>
          <w:rFonts w:ascii="Segoe UI" w:hAnsi="Segoe UI" w:cs="Segoe UI"/>
          <w:sz w:val="24"/>
          <w:szCs w:val="24"/>
        </w:rPr>
      </w:pPr>
      <w:r>
        <w:rPr>
          <w:rFonts w:ascii="Segoe UI" w:hAnsi="Segoe UI" w:cs="Segoe UI"/>
          <w:sz w:val="24"/>
          <w:szCs w:val="24"/>
        </w:rPr>
        <w:t>The following section summarizes the key themes of</w:t>
      </w:r>
      <w:r w:rsidR="007F0D4B">
        <w:rPr>
          <w:rFonts w:ascii="Segoe UI" w:hAnsi="Segoe UI" w:cs="Segoe UI"/>
          <w:sz w:val="24"/>
          <w:szCs w:val="24"/>
        </w:rPr>
        <w:t xml:space="preserve"> issues</w:t>
      </w:r>
      <w:r w:rsidR="00E93B31">
        <w:rPr>
          <w:rFonts w:ascii="Segoe UI" w:hAnsi="Segoe UI" w:cs="Segoe UI"/>
          <w:sz w:val="24"/>
          <w:szCs w:val="24"/>
        </w:rPr>
        <w:t xml:space="preserve">, </w:t>
      </w:r>
      <w:r w:rsidR="004B5BBA">
        <w:rPr>
          <w:rFonts w:ascii="Segoe UI" w:hAnsi="Segoe UI" w:cs="Segoe UI"/>
          <w:sz w:val="24"/>
          <w:szCs w:val="24"/>
        </w:rPr>
        <w:t>concerns,</w:t>
      </w:r>
      <w:r w:rsidR="007F0D4B">
        <w:rPr>
          <w:rFonts w:ascii="Segoe UI" w:hAnsi="Segoe UI" w:cs="Segoe UI"/>
          <w:sz w:val="24"/>
          <w:szCs w:val="24"/>
        </w:rPr>
        <w:t xml:space="preserve"> </w:t>
      </w:r>
      <w:r w:rsidR="00E93B31">
        <w:rPr>
          <w:rFonts w:ascii="Segoe UI" w:hAnsi="Segoe UI" w:cs="Segoe UI"/>
          <w:sz w:val="24"/>
          <w:szCs w:val="24"/>
        </w:rPr>
        <w:t xml:space="preserve">and recommendations </w:t>
      </w:r>
      <w:r w:rsidR="007F0D4B">
        <w:rPr>
          <w:rFonts w:ascii="Segoe UI" w:hAnsi="Segoe UI" w:cs="Segoe UI"/>
          <w:sz w:val="24"/>
          <w:szCs w:val="24"/>
        </w:rPr>
        <w:t>that</w:t>
      </w:r>
      <w:r>
        <w:rPr>
          <w:rFonts w:ascii="Segoe UI" w:hAnsi="Segoe UI" w:cs="Segoe UI"/>
          <w:sz w:val="24"/>
          <w:szCs w:val="24"/>
        </w:rPr>
        <w:t xml:space="preserve"> we heard from participants. The timing of the workshop provide</w:t>
      </w:r>
      <w:r w:rsidR="00E353EB">
        <w:rPr>
          <w:rFonts w:ascii="Segoe UI" w:hAnsi="Segoe UI" w:cs="Segoe UI"/>
          <w:sz w:val="24"/>
          <w:szCs w:val="24"/>
        </w:rPr>
        <w:t>s</w:t>
      </w:r>
      <w:r>
        <w:rPr>
          <w:rFonts w:ascii="Segoe UI" w:hAnsi="Segoe UI" w:cs="Segoe UI"/>
          <w:sz w:val="24"/>
          <w:szCs w:val="24"/>
        </w:rPr>
        <w:t xml:space="preserve"> participants an opportunity to </w:t>
      </w:r>
      <w:r w:rsidR="00820D11">
        <w:rPr>
          <w:rFonts w:ascii="Segoe UI" w:hAnsi="Segoe UI" w:cs="Segoe UI"/>
          <w:sz w:val="24"/>
          <w:szCs w:val="24"/>
        </w:rPr>
        <w:t xml:space="preserve">elaborate on comments and share </w:t>
      </w:r>
      <w:r>
        <w:rPr>
          <w:rFonts w:ascii="Segoe UI" w:hAnsi="Segoe UI" w:cs="Segoe UI"/>
          <w:sz w:val="24"/>
          <w:szCs w:val="24"/>
        </w:rPr>
        <w:t xml:space="preserve">additional insights that CNSC </w:t>
      </w:r>
      <w:r w:rsidR="00DF085A">
        <w:rPr>
          <w:rFonts w:ascii="Segoe UI" w:hAnsi="Segoe UI" w:cs="Segoe UI"/>
          <w:sz w:val="24"/>
          <w:szCs w:val="24"/>
        </w:rPr>
        <w:t xml:space="preserve">staff </w:t>
      </w:r>
      <w:r w:rsidR="00820D11">
        <w:rPr>
          <w:rFonts w:ascii="Segoe UI" w:hAnsi="Segoe UI" w:cs="Segoe UI"/>
          <w:sz w:val="24"/>
          <w:szCs w:val="24"/>
        </w:rPr>
        <w:t xml:space="preserve">will </w:t>
      </w:r>
      <w:r>
        <w:rPr>
          <w:rFonts w:ascii="Segoe UI" w:hAnsi="Segoe UI" w:cs="Segoe UI"/>
          <w:sz w:val="24"/>
          <w:szCs w:val="24"/>
        </w:rPr>
        <w:t xml:space="preserve">consider as </w:t>
      </w:r>
      <w:r w:rsidR="00820D11">
        <w:rPr>
          <w:rFonts w:ascii="Segoe UI" w:hAnsi="Segoe UI" w:cs="Segoe UI"/>
          <w:sz w:val="24"/>
          <w:szCs w:val="24"/>
        </w:rPr>
        <w:t xml:space="preserve">we </w:t>
      </w:r>
      <w:r>
        <w:rPr>
          <w:rFonts w:ascii="Segoe UI" w:hAnsi="Segoe UI" w:cs="Segoe UI"/>
          <w:sz w:val="24"/>
          <w:szCs w:val="24"/>
        </w:rPr>
        <w:t xml:space="preserve">continue </w:t>
      </w:r>
      <w:r w:rsidR="00820D11">
        <w:rPr>
          <w:rFonts w:ascii="Segoe UI" w:hAnsi="Segoe UI" w:cs="Segoe UI"/>
          <w:sz w:val="24"/>
          <w:szCs w:val="24"/>
        </w:rPr>
        <w:t xml:space="preserve">our </w:t>
      </w:r>
      <w:r>
        <w:rPr>
          <w:rFonts w:ascii="Segoe UI" w:hAnsi="Segoe UI" w:cs="Segoe UI"/>
          <w:sz w:val="24"/>
          <w:szCs w:val="24"/>
        </w:rPr>
        <w:t xml:space="preserve">regulatory review </w:t>
      </w:r>
      <w:r w:rsidR="00A067B1">
        <w:rPr>
          <w:rFonts w:ascii="Segoe UI" w:hAnsi="Segoe UI" w:cs="Segoe UI"/>
          <w:sz w:val="24"/>
          <w:szCs w:val="24"/>
        </w:rPr>
        <w:t>of OPG’s licen</w:t>
      </w:r>
      <w:r w:rsidR="00E353EB">
        <w:rPr>
          <w:rFonts w:ascii="Segoe UI" w:hAnsi="Segoe UI" w:cs="Segoe UI"/>
          <w:sz w:val="24"/>
          <w:szCs w:val="24"/>
        </w:rPr>
        <w:t>c</w:t>
      </w:r>
      <w:r w:rsidR="00A067B1">
        <w:rPr>
          <w:rFonts w:ascii="Segoe UI" w:hAnsi="Segoe UI" w:cs="Segoe UI"/>
          <w:sz w:val="24"/>
          <w:szCs w:val="24"/>
        </w:rPr>
        <w:t>e to construct application.</w:t>
      </w:r>
    </w:p>
    <w:p w14:paraId="615C4658" w14:textId="6BDD28A6" w:rsidR="00FA1AC1" w:rsidRPr="00C81EFD" w:rsidRDefault="00280541" w:rsidP="00280541">
      <w:pPr>
        <w:rPr>
          <w:rFonts w:ascii="Segoe UI" w:hAnsi="Segoe UI" w:cs="Segoe UI"/>
          <w:b/>
          <w:bCs/>
          <w:sz w:val="32"/>
          <w:szCs w:val="32"/>
          <w:lang w:val="en-US"/>
        </w:rPr>
      </w:pPr>
      <w:r w:rsidRPr="00C81EFD">
        <w:rPr>
          <w:rFonts w:ascii="Segoe UI" w:hAnsi="Segoe UI" w:cs="Segoe UI"/>
          <w:b/>
          <w:bCs/>
          <w:sz w:val="32"/>
          <w:szCs w:val="32"/>
          <w:lang w:val="en-US"/>
        </w:rPr>
        <w:t>Environmental Effects and Risks Assessment</w:t>
      </w:r>
    </w:p>
    <w:p w14:paraId="17BE7E0F" w14:textId="0E9765DB" w:rsidR="00E600EA" w:rsidRPr="00795C19" w:rsidRDefault="00E600EA" w:rsidP="00280541">
      <w:pPr>
        <w:rPr>
          <w:rFonts w:ascii="Segoe UI" w:hAnsi="Segoe UI" w:cs="Segoe UI"/>
          <w:b/>
          <w:bCs/>
          <w:sz w:val="24"/>
          <w:szCs w:val="24"/>
          <w:lang w:val="en-US"/>
        </w:rPr>
      </w:pPr>
      <w:r w:rsidRPr="00795C19">
        <w:rPr>
          <w:rFonts w:ascii="Segoe UI" w:hAnsi="Segoe UI" w:cs="Segoe UI"/>
          <w:b/>
          <w:bCs/>
          <w:sz w:val="24"/>
          <w:szCs w:val="24"/>
          <w:lang w:val="en-US"/>
        </w:rPr>
        <w:t>Environmental Assessment</w:t>
      </w:r>
    </w:p>
    <w:p w14:paraId="6255DCDC" w14:textId="3D1FD417" w:rsidR="00E600EA" w:rsidRDefault="00E93B31" w:rsidP="00FA7AEC">
      <w:pPr>
        <w:pStyle w:val="ListParagraph"/>
        <w:numPr>
          <w:ilvl w:val="0"/>
          <w:numId w:val="4"/>
        </w:numPr>
        <w:jc w:val="both"/>
        <w:rPr>
          <w:rFonts w:ascii="Segoe UI" w:hAnsi="Segoe UI" w:cs="Segoe UI"/>
          <w:sz w:val="24"/>
          <w:szCs w:val="24"/>
          <w:lang w:val="en-US"/>
        </w:rPr>
      </w:pPr>
      <w:r>
        <w:rPr>
          <w:rFonts w:ascii="Segoe UI" w:hAnsi="Segoe UI" w:cs="Segoe UI"/>
          <w:sz w:val="24"/>
          <w:szCs w:val="24"/>
          <w:lang w:val="en-US"/>
        </w:rPr>
        <w:t>OPG should a</w:t>
      </w:r>
      <w:r w:rsidR="00026335">
        <w:rPr>
          <w:rFonts w:ascii="Segoe UI" w:hAnsi="Segoe UI" w:cs="Segoe UI"/>
          <w:sz w:val="24"/>
          <w:szCs w:val="24"/>
          <w:lang w:val="en-US"/>
        </w:rPr>
        <w:t>ugment</w:t>
      </w:r>
      <w:r w:rsidR="00E600EA">
        <w:rPr>
          <w:rFonts w:ascii="Segoe UI" w:hAnsi="Segoe UI" w:cs="Segoe UI"/>
          <w:sz w:val="24"/>
          <w:szCs w:val="24"/>
          <w:lang w:val="en-US"/>
        </w:rPr>
        <w:t xml:space="preserve"> the</w:t>
      </w:r>
      <w:r w:rsidR="00E402CA">
        <w:rPr>
          <w:rFonts w:ascii="Segoe UI" w:hAnsi="Segoe UI" w:cs="Segoe UI"/>
          <w:sz w:val="24"/>
          <w:szCs w:val="24"/>
          <w:lang w:val="en-US"/>
        </w:rPr>
        <w:t xml:space="preserve"> </w:t>
      </w:r>
      <w:r w:rsidR="006C3400">
        <w:rPr>
          <w:rFonts w:ascii="Segoe UI" w:hAnsi="Segoe UI" w:cs="Segoe UI"/>
          <w:sz w:val="24"/>
          <w:szCs w:val="24"/>
          <w:lang w:val="en-US"/>
        </w:rPr>
        <w:t xml:space="preserve">2009 </w:t>
      </w:r>
      <w:r w:rsidR="0072441D">
        <w:rPr>
          <w:rFonts w:ascii="Segoe UI" w:hAnsi="Segoe UI" w:cs="Segoe UI"/>
          <w:sz w:val="24"/>
          <w:szCs w:val="24"/>
          <w:lang w:val="en-US"/>
        </w:rPr>
        <w:t>e</w:t>
      </w:r>
      <w:r w:rsidR="00E402CA">
        <w:rPr>
          <w:rFonts w:ascii="Segoe UI" w:hAnsi="Segoe UI" w:cs="Segoe UI"/>
          <w:sz w:val="24"/>
          <w:szCs w:val="24"/>
          <w:lang w:val="en-US"/>
        </w:rPr>
        <w:t xml:space="preserve">nvironmental </w:t>
      </w:r>
      <w:r w:rsidR="0072441D">
        <w:rPr>
          <w:rFonts w:ascii="Segoe UI" w:hAnsi="Segoe UI" w:cs="Segoe UI"/>
          <w:sz w:val="24"/>
          <w:szCs w:val="24"/>
          <w:lang w:val="en-US"/>
        </w:rPr>
        <w:t>i</w:t>
      </w:r>
      <w:r w:rsidR="00E402CA">
        <w:rPr>
          <w:rFonts w:ascii="Segoe UI" w:hAnsi="Segoe UI" w:cs="Segoe UI"/>
          <w:sz w:val="24"/>
          <w:szCs w:val="24"/>
          <w:lang w:val="en-US"/>
        </w:rPr>
        <w:t xml:space="preserve">mpact </w:t>
      </w:r>
      <w:r w:rsidR="0072441D">
        <w:rPr>
          <w:rFonts w:ascii="Segoe UI" w:hAnsi="Segoe UI" w:cs="Segoe UI"/>
          <w:sz w:val="24"/>
          <w:szCs w:val="24"/>
          <w:lang w:val="en-US"/>
        </w:rPr>
        <w:t>s</w:t>
      </w:r>
      <w:r w:rsidR="00E402CA">
        <w:rPr>
          <w:rFonts w:ascii="Segoe UI" w:hAnsi="Segoe UI" w:cs="Segoe UI"/>
          <w:sz w:val="24"/>
          <w:szCs w:val="24"/>
          <w:lang w:val="en-US"/>
        </w:rPr>
        <w:t>tatement</w:t>
      </w:r>
      <w:r w:rsidR="00E600EA">
        <w:rPr>
          <w:rFonts w:ascii="Segoe UI" w:hAnsi="Segoe UI" w:cs="Segoe UI"/>
          <w:sz w:val="24"/>
          <w:szCs w:val="24"/>
          <w:lang w:val="en-US"/>
        </w:rPr>
        <w:t xml:space="preserve"> </w:t>
      </w:r>
      <w:r w:rsidR="00026335">
        <w:rPr>
          <w:rFonts w:ascii="Segoe UI" w:hAnsi="Segoe UI" w:cs="Segoe UI"/>
          <w:sz w:val="24"/>
          <w:szCs w:val="24"/>
          <w:lang w:val="en-US"/>
        </w:rPr>
        <w:t xml:space="preserve">with additional information </w:t>
      </w:r>
      <w:r>
        <w:rPr>
          <w:rFonts w:ascii="Segoe UI" w:hAnsi="Segoe UI" w:cs="Segoe UI"/>
          <w:sz w:val="24"/>
          <w:szCs w:val="24"/>
          <w:lang w:val="en-US"/>
        </w:rPr>
        <w:t xml:space="preserve">which </w:t>
      </w:r>
      <w:r w:rsidR="00E600EA">
        <w:rPr>
          <w:rFonts w:ascii="Segoe UI" w:hAnsi="Segoe UI" w:cs="Segoe UI"/>
          <w:sz w:val="24"/>
          <w:szCs w:val="24"/>
          <w:lang w:val="en-US"/>
        </w:rPr>
        <w:t xml:space="preserve">would </w:t>
      </w:r>
      <w:r w:rsidR="00E402CA">
        <w:rPr>
          <w:rFonts w:ascii="Segoe UI" w:hAnsi="Segoe UI" w:cs="Segoe UI"/>
          <w:sz w:val="24"/>
          <w:szCs w:val="24"/>
          <w:lang w:val="en-US"/>
        </w:rPr>
        <w:t xml:space="preserve">provide </w:t>
      </w:r>
      <w:r w:rsidR="00E600EA">
        <w:rPr>
          <w:rFonts w:ascii="Segoe UI" w:hAnsi="Segoe UI" w:cs="Segoe UI"/>
          <w:sz w:val="24"/>
          <w:szCs w:val="24"/>
          <w:lang w:val="en-US"/>
        </w:rPr>
        <w:t>the</w:t>
      </w:r>
      <w:r w:rsidR="00E402CA">
        <w:rPr>
          <w:rFonts w:ascii="Segoe UI" w:hAnsi="Segoe UI" w:cs="Segoe UI"/>
          <w:sz w:val="24"/>
          <w:szCs w:val="24"/>
          <w:lang w:val="en-US"/>
        </w:rPr>
        <w:t xml:space="preserve"> data required for the</w:t>
      </w:r>
      <w:r w:rsidR="00E600EA">
        <w:rPr>
          <w:rFonts w:ascii="Segoe UI" w:hAnsi="Segoe UI" w:cs="Segoe UI"/>
          <w:sz w:val="24"/>
          <w:szCs w:val="24"/>
          <w:lang w:val="en-US"/>
        </w:rPr>
        <w:t xml:space="preserve"> independent verification of numerical values that are assigned to various parameters</w:t>
      </w:r>
      <w:r w:rsidR="0072441D">
        <w:rPr>
          <w:rFonts w:ascii="Segoe UI" w:hAnsi="Segoe UI" w:cs="Segoe UI"/>
          <w:sz w:val="24"/>
          <w:szCs w:val="24"/>
          <w:lang w:val="en-US"/>
        </w:rPr>
        <w:t>.</w:t>
      </w:r>
    </w:p>
    <w:p w14:paraId="589972FD" w14:textId="3815FACB" w:rsidR="00A00F18" w:rsidRDefault="00E93B31" w:rsidP="00FA7AEC">
      <w:pPr>
        <w:pStyle w:val="ListParagraph"/>
        <w:numPr>
          <w:ilvl w:val="0"/>
          <w:numId w:val="4"/>
        </w:numPr>
        <w:jc w:val="both"/>
        <w:rPr>
          <w:rFonts w:ascii="Segoe UI" w:hAnsi="Segoe UI" w:cs="Segoe UI"/>
          <w:sz w:val="24"/>
          <w:szCs w:val="24"/>
          <w:lang w:val="en-US"/>
        </w:rPr>
      </w:pPr>
      <w:r>
        <w:rPr>
          <w:rFonts w:ascii="Segoe UI" w:hAnsi="Segoe UI" w:cs="Segoe UI"/>
          <w:sz w:val="24"/>
          <w:szCs w:val="24"/>
          <w:lang w:val="en-US"/>
        </w:rPr>
        <w:t>OPG should provide g</w:t>
      </w:r>
      <w:r w:rsidR="00E600EA">
        <w:rPr>
          <w:rFonts w:ascii="Segoe UI" w:hAnsi="Segoe UI" w:cs="Segoe UI"/>
          <w:sz w:val="24"/>
          <w:szCs w:val="24"/>
          <w:lang w:val="en-US"/>
        </w:rPr>
        <w:t xml:space="preserve">reater transparency </w:t>
      </w:r>
      <w:r w:rsidR="00820D11">
        <w:rPr>
          <w:rFonts w:ascii="Segoe UI" w:hAnsi="Segoe UI" w:cs="Segoe UI"/>
          <w:sz w:val="24"/>
          <w:szCs w:val="24"/>
          <w:lang w:val="en-US"/>
        </w:rPr>
        <w:t xml:space="preserve">on </w:t>
      </w:r>
      <w:r w:rsidR="00E600EA">
        <w:rPr>
          <w:rFonts w:ascii="Segoe UI" w:hAnsi="Segoe UI" w:cs="Segoe UI"/>
          <w:sz w:val="24"/>
          <w:szCs w:val="24"/>
          <w:lang w:val="en-US"/>
        </w:rPr>
        <w:t xml:space="preserve">how </w:t>
      </w:r>
      <w:r>
        <w:rPr>
          <w:rFonts w:ascii="Segoe UI" w:hAnsi="Segoe UI" w:cs="Segoe UI"/>
          <w:sz w:val="24"/>
          <w:szCs w:val="24"/>
          <w:lang w:val="en-US"/>
        </w:rPr>
        <w:t xml:space="preserve">it </w:t>
      </w:r>
      <w:r w:rsidR="00E600EA">
        <w:rPr>
          <w:rFonts w:ascii="Segoe UI" w:hAnsi="Segoe UI" w:cs="Segoe UI"/>
          <w:sz w:val="24"/>
          <w:szCs w:val="24"/>
          <w:lang w:val="en-US"/>
        </w:rPr>
        <w:t xml:space="preserve">justified the project remaining within the original </w:t>
      </w:r>
      <w:r w:rsidR="00820D11">
        <w:rPr>
          <w:rFonts w:ascii="Segoe UI" w:hAnsi="Segoe UI" w:cs="Segoe UI"/>
          <w:sz w:val="24"/>
          <w:szCs w:val="24"/>
          <w:lang w:val="en-US"/>
        </w:rPr>
        <w:t>approved environmental assessment</w:t>
      </w:r>
      <w:r w:rsidR="006C3400">
        <w:rPr>
          <w:rFonts w:ascii="Segoe UI" w:hAnsi="Segoe UI" w:cs="Segoe UI"/>
          <w:sz w:val="24"/>
          <w:szCs w:val="24"/>
          <w:lang w:val="en-US"/>
        </w:rPr>
        <w:t>.</w:t>
      </w:r>
      <w:r w:rsidR="00026335">
        <w:rPr>
          <w:rFonts w:ascii="Segoe UI" w:hAnsi="Segoe UI" w:cs="Segoe UI"/>
          <w:sz w:val="24"/>
          <w:szCs w:val="24"/>
          <w:lang w:val="en-US"/>
        </w:rPr>
        <w:t xml:space="preserve"> </w:t>
      </w:r>
    </w:p>
    <w:p w14:paraId="5F9D0A97" w14:textId="0850D90F" w:rsidR="006476E1" w:rsidRDefault="00E93B31" w:rsidP="00FA7AEC">
      <w:pPr>
        <w:pStyle w:val="ListParagraph"/>
        <w:numPr>
          <w:ilvl w:val="0"/>
          <w:numId w:val="4"/>
        </w:numPr>
        <w:jc w:val="both"/>
        <w:rPr>
          <w:rFonts w:ascii="Segoe UI" w:hAnsi="Segoe UI" w:cs="Segoe UI"/>
          <w:sz w:val="24"/>
          <w:szCs w:val="24"/>
          <w:lang w:val="en-US"/>
        </w:rPr>
      </w:pPr>
      <w:r>
        <w:rPr>
          <w:rFonts w:ascii="Segoe UI" w:hAnsi="Segoe UI" w:cs="Segoe UI"/>
          <w:sz w:val="24"/>
          <w:szCs w:val="24"/>
          <w:lang w:val="en-US"/>
        </w:rPr>
        <w:t xml:space="preserve">OPG </w:t>
      </w:r>
      <w:r w:rsidR="00E353EB">
        <w:rPr>
          <w:rFonts w:ascii="Segoe UI" w:hAnsi="Segoe UI" w:cs="Segoe UI"/>
          <w:sz w:val="24"/>
          <w:szCs w:val="24"/>
          <w:lang w:val="en-US"/>
        </w:rPr>
        <w:t xml:space="preserve">should </w:t>
      </w:r>
      <w:r w:rsidR="00026335">
        <w:rPr>
          <w:rFonts w:ascii="Segoe UI" w:hAnsi="Segoe UI" w:cs="Segoe UI"/>
          <w:sz w:val="24"/>
          <w:szCs w:val="24"/>
          <w:lang w:val="en-US"/>
        </w:rPr>
        <w:t>provid</w:t>
      </w:r>
      <w:r w:rsidR="00E353EB">
        <w:rPr>
          <w:rFonts w:ascii="Segoe UI" w:hAnsi="Segoe UI" w:cs="Segoe UI"/>
          <w:sz w:val="24"/>
          <w:szCs w:val="24"/>
          <w:lang w:val="en-US"/>
        </w:rPr>
        <w:t>e</w:t>
      </w:r>
      <w:r w:rsidR="00026335">
        <w:rPr>
          <w:rFonts w:ascii="Segoe UI" w:hAnsi="Segoe UI" w:cs="Segoe UI"/>
          <w:sz w:val="24"/>
          <w:szCs w:val="24"/>
          <w:lang w:val="en-US"/>
        </w:rPr>
        <w:t xml:space="preserve"> access to the specific information </w:t>
      </w:r>
      <w:r w:rsidR="00E353EB">
        <w:rPr>
          <w:rFonts w:ascii="Segoe UI" w:hAnsi="Segoe UI" w:cs="Segoe UI"/>
          <w:sz w:val="24"/>
          <w:szCs w:val="24"/>
          <w:lang w:val="en-US"/>
        </w:rPr>
        <w:t>it</w:t>
      </w:r>
      <w:r w:rsidR="00026335">
        <w:rPr>
          <w:rFonts w:ascii="Segoe UI" w:hAnsi="Segoe UI" w:cs="Segoe UI"/>
          <w:sz w:val="24"/>
          <w:szCs w:val="24"/>
          <w:lang w:val="en-US"/>
        </w:rPr>
        <w:t xml:space="preserve"> is relying on to make </w:t>
      </w:r>
      <w:r w:rsidR="00E353EB">
        <w:rPr>
          <w:rFonts w:ascii="Segoe UI" w:hAnsi="Segoe UI" w:cs="Segoe UI"/>
          <w:sz w:val="24"/>
          <w:szCs w:val="24"/>
          <w:lang w:val="en-US"/>
        </w:rPr>
        <w:t xml:space="preserve">the </w:t>
      </w:r>
      <w:r w:rsidR="00026335">
        <w:rPr>
          <w:rFonts w:ascii="Segoe UI" w:hAnsi="Segoe UI" w:cs="Segoe UI"/>
          <w:sz w:val="24"/>
          <w:szCs w:val="24"/>
          <w:lang w:val="en-US"/>
        </w:rPr>
        <w:t xml:space="preserve">claim that the selected technology remains within the bounds </w:t>
      </w:r>
      <w:r w:rsidR="00E353EB">
        <w:rPr>
          <w:rFonts w:ascii="Segoe UI" w:hAnsi="Segoe UI" w:cs="Segoe UI"/>
          <w:sz w:val="24"/>
          <w:szCs w:val="24"/>
          <w:lang w:val="en-US"/>
        </w:rPr>
        <w:t xml:space="preserve">of the </w:t>
      </w:r>
      <w:r w:rsidR="00375758">
        <w:rPr>
          <w:rFonts w:ascii="Segoe UI" w:hAnsi="Segoe UI" w:cs="Segoe UI"/>
          <w:sz w:val="24"/>
          <w:szCs w:val="24"/>
          <w:lang w:val="en-US"/>
        </w:rPr>
        <w:t>plant parameter envelope</w:t>
      </w:r>
      <w:r w:rsidR="00026335">
        <w:rPr>
          <w:rFonts w:ascii="Segoe UI" w:hAnsi="Segoe UI" w:cs="Segoe UI"/>
          <w:sz w:val="24"/>
          <w:szCs w:val="24"/>
          <w:lang w:val="en-US"/>
        </w:rPr>
        <w:t>.</w:t>
      </w:r>
    </w:p>
    <w:p w14:paraId="148C0D03" w14:textId="4BD4B3B4" w:rsidR="006C3400" w:rsidRPr="00795C19" w:rsidRDefault="006C3400" w:rsidP="00904344">
      <w:pPr>
        <w:contextualSpacing/>
        <w:jc w:val="both"/>
        <w:rPr>
          <w:rFonts w:ascii="Segoe UI" w:hAnsi="Segoe UI" w:cs="Segoe UI"/>
          <w:b/>
          <w:bCs/>
          <w:sz w:val="24"/>
          <w:szCs w:val="24"/>
          <w:lang w:val="en-US"/>
        </w:rPr>
      </w:pPr>
      <w:r w:rsidRPr="00795C19">
        <w:rPr>
          <w:rFonts w:ascii="Segoe UI" w:hAnsi="Segoe UI" w:cs="Segoe UI"/>
          <w:b/>
          <w:bCs/>
          <w:sz w:val="24"/>
          <w:szCs w:val="24"/>
          <w:lang w:val="en-US"/>
        </w:rPr>
        <w:t>Environmental Effects</w:t>
      </w:r>
    </w:p>
    <w:p w14:paraId="71FBA3F0" w14:textId="403100A1" w:rsidR="00E600EA" w:rsidRDefault="00E93B31" w:rsidP="00FA7AEC">
      <w:pPr>
        <w:pStyle w:val="ListParagraph"/>
        <w:numPr>
          <w:ilvl w:val="0"/>
          <w:numId w:val="5"/>
        </w:numPr>
        <w:jc w:val="both"/>
        <w:rPr>
          <w:rFonts w:ascii="Segoe UI" w:hAnsi="Segoe UI" w:cs="Segoe UI"/>
          <w:sz w:val="24"/>
          <w:szCs w:val="24"/>
          <w:lang w:val="en-US"/>
        </w:rPr>
      </w:pPr>
      <w:r>
        <w:rPr>
          <w:rFonts w:ascii="Segoe UI" w:hAnsi="Segoe UI" w:cs="Segoe UI"/>
          <w:sz w:val="24"/>
          <w:szCs w:val="24"/>
          <w:lang w:val="en-US"/>
        </w:rPr>
        <w:t>OPG should conduct a</w:t>
      </w:r>
      <w:r w:rsidR="006C3400">
        <w:rPr>
          <w:rFonts w:ascii="Segoe UI" w:hAnsi="Segoe UI" w:cs="Segoe UI"/>
          <w:sz w:val="24"/>
          <w:szCs w:val="24"/>
          <w:lang w:val="en-US"/>
        </w:rPr>
        <w:t xml:space="preserve">n assessment </w:t>
      </w:r>
      <w:r w:rsidR="0001038C">
        <w:rPr>
          <w:rFonts w:ascii="Segoe UI" w:hAnsi="Segoe UI" w:cs="Segoe UI"/>
          <w:sz w:val="24"/>
          <w:szCs w:val="24"/>
          <w:lang w:val="en-US"/>
        </w:rPr>
        <w:t>that</w:t>
      </w:r>
      <w:r w:rsidR="0001038C" w:rsidRPr="0001038C">
        <w:rPr>
          <w:rFonts w:ascii="Segoe UI" w:hAnsi="Segoe UI" w:cs="Segoe UI"/>
          <w:sz w:val="24"/>
          <w:szCs w:val="24"/>
          <w:lang w:val="en-US"/>
        </w:rPr>
        <w:t xml:space="preserve"> adequately evaluat</w:t>
      </w:r>
      <w:r w:rsidR="0001038C">
        <w:rPr>
          <w:rFonts w:ascii="Segoe UI" w:hAnsi="Segoe UI" w:cs="Segoe UI"/>
          <w:sz w:val="24"/>
          <w:szCs w:val="24"/>
          <w:lang w:val="en-US"/>
        </w:rPr>
        <w:t>es</w:t>
      </w:r>
      <w:r w:rsidR="0001038C" w:rsidRPr="0001038C">
        <w:rPr>
          <w:rFonts w:ascii="Segoe UI" w:hAnsi="Segoe UI" w:cs="Segoe UI"/>
          <w:sz w:val="24"/>
          <w:szCs w:val="24"/>
          <w:lang w:val="en-US"/>
        </w:rPr>
        <w:t xml:space="preserve"> the potential environmental </w:t>
      </w:r>
      <w:r w:rsidR="0001038C">
        <w:rPr>
          <w:rFonts w:ascii="Segoe UI" w:hAnsi="Segoe UI" w:cs="Segoe UI"/>
          <w:sz w:val="24"/>
          <w:szCs w:val="24"/>
          <w:lang w:val="en-US"/>
        </w:rPr>
        <w:t xml:space="preserve">effects of the BWRX-300 </w:t>
      </w:r>
      <w:r w:rsidR="00375758">
        <w:rPr>
          <w:rFonts w:ascii="Segoe UI" w:hAnsi="Segoe UI" w:cs="Segoe UI"/>
          <w:sz w:val="24"/>
          <w:szCs w:val="24"/>
          <w:lang w:val="en-US"/>
        </w:rPr>
        <w:t xml:space="preserve">to </w:t>
      </w:r>
      <w:r w:rsidR="0001038C">
        <w:rPr>
          <w:rFonts w:ascii="Segoe UI" w:hAnsi="Segoe UI" w:cs="Segoe UI"/>
          <w:sz w:val="24"/>
          <w:szCs w:val="24"/>
          <w:lang w:val="en-US"/>
        </w:rPr>
        <w:t>improve confidence</w:t>
      </w:r>
      <w:r w:rsidR="00117CDE">
        <w:rPr>
          <w:rFonts w:ascii="Segoe UI" w:hAnsi="Segoe UI" w:cs="Segoe UI"/>
          <w:sz w:val="24"/>
          <w:szCs w:val="24"/>
          <w:lang w:val="en-US"/>
        </w:rPr>
        <w:t xml:space="preserve"> in maintaining the</w:t>
      </w:r>
      <w:r w:rsidR="0001038C">
        <w:rPr>
          <w:rFonts w:ascii="Segoe UI" w:hAnsi="Segoe UI" w:cs="Segoe UI"/>
          <w:sz w:val="24"/>
          <w:szCs w:val="24"/>
          <w:lang w:val="en-US"/>
        </w:rPr>
        <w:t xml:space="preserve"> </w:t>
      </w:r>
      <w:r w:rsidR="0028349D">
        <w:rPr>
          <w:rFonts w:ascii="Segoe UI" w:hAnsi="Segoe UI" w:cs="Segoe UI"/>
          <w:sz w:val="24"/>
          <w:szCs w:val="24"/>
          <w:lang w:val="en-US"/>
        </w:rPr>
        <w:t>original environmental assessment</w:t>
      </w:r>
      <w:r w:rsidR="003B1972">
        <w:rPr>
          <w:rFonts w:ascii="Segoe UI" w:hAnsi="Segoe UI" w:cs="Segoe UI"/>
          <w:sz w:val="24"/>
          <w:szCs w:val="24"/>
          <w:lang w:val="en-US"/>
        </w:rPr>
        <w:t>.</w:t>
      </w:r>
    </w:p>
    <w:p w14:paraId="28549CB9" w14:textId="0BD92B79" w:rsidR="00CA5E9B" w:rsidRDefault="00E93B31" w:rsidP="00FA7AEC">
      <w:pPr>
        <w:pStyle w:val="ListParagraph"/>
        <w:numPr>
          <w:ilvl w:val="0"/>
          <w:numId w:val="5"/>
        </w:numPr>
        <w:jc w:val="both"/>
        <w:rPr>
          <w:rFonts w:ascii="Segoe UI" w:hAnsi="Segoe UI" w:cs="Segoe UI"/>
          <w:sz w:val="24"/>
          <w:szCs w:val="24"/>
          <w:lang w:val="en-US"/>
        </w:rPr>
      </w:pPr>
      <w:r>
        <w:rPr>
          <w:rFonts w:ascii="Segoe UI" w:hAnsi="Segoe UI" w:cs="Segoe UI"/>
          <w:sz w:val="24"/>
          <w:szCs w:val="24"/>
          <w:lang w:val="en-US"/>
        </w:rPr>
        <w:t xml:space="preserve">OPG should </w:t>
      </w:r>
      <w:r w:rsidR="007D3079">
        <w:rPr>
          <w:rFonts w:ascii="Segoe UI" w:hAnsi="Segoe UI" w:cs="Segoe UI"/>
          <w:sz w:val="24"/>
          <w:szCs w:val="24"/>
          <w:lang w:val="en-US"/>
        </w:rPr>
        <w:t>perform a more robust analysis</w:t>
      </w:r>
      <w:r w:rsidR="003B1972">
        <w:rPr>
          <w:rFonts w:ascii="Segoe UI" w:hAnsi="Segoe UI" w:cs="Segoe UI"/>
          <w:sz w:val="24"/>
          <w:szCs w:val="24"/>
          <w:lang w:val="en-US"/>
        </w:rPr>
        <w:t xml:space="preserve"> on the BWRX-300’s potential effects on groundwater wells, </w:t>
      </w:r>
      <w:r w:rsidR="00280541" w:rsidRPr="003B1972">
        <w:rPr>
          <w:rFonts w:ascii="Segoe UI" w:hAnsi="Segoe UI" w:cs="Segoe UI"/>
          <w:sz w:val="24"/>
          <w:szCs w:val="24"/>
          <w:lang w:val="en-US"/>
        </w:rPr>
        <w:t>terrestrial</w:t>
      </w:r>
      <w:r w:rsidR="003B1972">
        <w:rPr>
          <w:rFonts w:ascii="Segoe UI" w:hAnsi="Segoe UI" w:cs="Segoe UI"/>
          <w:sz w:val="24"/>
          <w:szCs w:val="24"/>
          <w:lang w:val="en-US"/>
        </w:rPr>
        <w:t xml:space="preserve"> and </w:t>
      </w:r>
      <w:r w:rsidR="00280541" w:rsidRPr="003B1972">
        <w:rPr>
          <w:rFonts w:ascii="Segoe UI" w:hAnsi="Segoe UI" w:cs="Segoe UI"/>
          <w:sz w:val="24"/>
          <w:szCs w:val="24"/>
          <w:lang w:val="en-US"/>
        </w:rPr>
        <w:t xml:space="preserve">aquatic </w:t>
      </w:r>
      <w:r w:rsidR="004B5BBA" w:rsidRPr="003B1972">
        <w:rPr>
          <w:rFonts w:ascii="Segoe UI" w:hAnsi="Segoe UI" w:cs="Segoe UI"/>
          <w:sz w:val="24"/>
          <w:szCs w:val="24"/>
          <w:lang w:val="en-US"/>
        </w:rPr>
        <w:t>ecosystems,</w:t>
      </w:r>
      <w:r w:rsidR="003B1972">
        <w:rPr>
          <w:rFonts w:ascii="Segoe UI" w:hAnsi="Segoe UI" w:cs="Segoe UI"/>
          <w:sz w:val="24"/>
          <w:szCs w:val="24"/>
          <w:lang w:val="en-US"/>
        </w:rPr>
        <w:t xml:space="preserve"> and storm water infrastructure</w:t>
      </w:r>
      <w:r w:rsidR="00375758">
        <w:rPr>
          <w:rFonts w:ascii="Segoe UI" w:hAnsi="Segoe UI" w:cs="Segoe UI"/>
          <w:sz w:val="24"/>
          <w:szCs w:val="24"/>
          <w:lang w:val="en-US"/>
        </w:rPr>
        <w:t xml:space="preserve">. </w:t>
      </w:r>
    </w:p>
    <w:p w14:paraId="467E4AEC" w14:textId="6B360D01" w:rsidR="00FF549F" w:rsidRPr="00EF4A83" w:rsidRDefault="00E93B31" w:rsidP="00FA7AEC">
      <w:pPr>
        <w:pStyle w:val="ListParagraph"/>
        <w:numPr>
          <w:ilvl w:val="0"/>
          <w:numId w:val="5"/>
        </w:numPr>
        <w:jc w:val="both"/>
        <w:rPr>
          <w:rFonts w:ascii="Segoe UI" w:hAnsi="Segoe UI" w:cs="Segoe UI"/>
          <w:sz w:val="24"/>
          <w:szCs w:val="24"/>
          <w:lang w:val="en-US"/>
        </w:rPr>
      </w:pPr>
      <w:r>
        <w:rPr>
          <w:rFonts w:ascii="Segoe UI" w:hAnsi="Segoe UI" w:cs="Segoe UI"/>
          <w:sz w:val="24"/>
          <w:szCs w:val="24"/>
          <w:lang w:val="en-US"/>
        </w:rPr>
        <w:t xml:space="preserve">OPG </w:t>
      </w:r>
      <w:r w:rsidR="00FF549F" w:rsidRPr="006476E1">
        <w:rPr>
          <w:rFonts w:ascii="Segoe UI" w:hAnsi="Segoe UI" w:cs="Segoe UI"/>
          <w:sz w:val="24"/>
          <w:szCs w:val="24"/>
          <w:lang w:val="en-US"/>
        </w:rPr>
        <w:t xml:space="preserve">reports </w:t>
      </w:r>
      <w:r w:rsidR="009A019C">
        <w:rPr>
          <w:rFonts w:ascii="Segoe UI" w:hAnsi="Segoe UI" w:cs="Segoe UI"/>
          <w:sz w:val="24"/>
          <w:szCs w:val="24"/>
          <w:lang w:val="en-US"/>
        </w:rPr>
        <w:t>sh</w:t>
      </w:r>
      <w:r w:rsidR="00FF549F" w:rsidRPr="006476E1">
        <w:rPr>
          <w:rFonts w:ascii="Segoe UI" w:hAnsi="Segoe UI" w:cs="Segoe UI"/>
          <w:sz w:val="24"/>
          <w:szCs w:val="24"/>
          <w:lang w:val="en-US"/>
        </w:rPr>
        <w:t>ould be strengthened with a consideration of the environmental effects and dose impacts of the BWRX-300’s noble gas releases</w:t>
      </w:r>
      <w:r w:rsidR="00FF549F">
        <w:rPr>
          <w:rFonts w:ascii="Segoe UI" w:hAnsi="Segoe UI" w:cs="Segoe UI"/>
          <w:sz w:val="24"/>
          <w:szCs w:val="24"/>
          <w:lang w:val="en-US"/>
        </w:rPr>
        <w:t>.</w:t>
      </w:r>
      <w:r w:rsidR="00FF549F" w:rsidRPr="006476E1">
        <w:rPr>
          <w:rFonts w:ascii="Segoe UI" w:hAnsi="Segoe UI" w:cs="Segoe UI"/>
          <w:sz w:val="24"/>
          <w:szCs w:val="24"/>
          <w:lang w:val="en-US"/>
        </w:rPr>
        <w:t xml:space="preserve"> </w:t>
      </w:r>
    </w:p>
    <w:p w14:paraId="4CFF8FA4" w14:textId="7ACE9D01" w:rsidR="00E846E4" w:rsidRPr="00795C19" w:rsidRDefault="001A0AE9" w:rsidP="00904344">
      <w:pPr>
        <w:jc w:val="both"/>
        <w:rPr>
          <w:rFonts w:ascii="Segoe UI" w:hAnsi="Segoe UI" w:cs="Segoe UI"/>
          <w:b/>
          <w:bCs/>
          <w:sz w:val="24"/>
          <w:szCs w:val="24"/>
          <w:lang w:val="en-US"/>
        </w:rPr>
      </w:pPr>
      <w:r w:rsidRPr="00795C19">
        <w:rPr>
          <w:rFonts w:ascii="Segoe UI" w:hAnsi="Segoe UI" w:cs="Segoe UI"/>
          <w:b/>
          <w:bCs/>
          <w:sz w:val="24"/>
          <w:szCs w:val="24"/>
          <w:lang w:val="en-US"/>
        </w:rPr>
        <w:t>Species at Risk</w:t>
      </w:r>
    </w:p>
    <w:p w14:paraId="55EB44F6" w14:textId="5AF68265" w:rsidR="001A0AE9" w:rsidRDefault="00E93B31" w:rsidP="00FA7AEC">
      <w:pPr>
        <w:numPr>
          <w:ilvl w:val="0"/>
          <w:numId w:val="3"/>
        </w:numPr>
        <w:ind w:left="720"/>
        <w:contextualSpacing/>
        <w:jc w:val="both"/>
        <w:rPr>
          <w:rFonts w:ascii="Segoe UI" w:hAnsi="Segoe UI" w:cs="Segoe UI"/>
          <w:sz w:val="24"/>
          <w:szCs w:val="24"/>
          <w:lang w:val="en-US"/>
        </w:rPr>
      </w:pPr>
      <w:r>
        <w:rPr>
          <w:rFonts w:ascii="Segoe UI" w:hAnsi="Segoe UI" w:cs="Segoe UI"/>
          <w:sz w:val="24"/>
          <w:szCs w:val="24"/>
          <w:lang w:val="en-US"/>
        </w:rPr>
        <w:t>CNSC and OPG should understand that w</w:t>
      </w:r>
      <w:r w:rsidR="001A0AE9">
        <w:rPr>
          <w:rFonts w:ascii="Segoe UI" w:hAnsi="Segoe UI" w:cs="Segoe UI"/>
          <w:sz w:val="24"/>
          <w:szCs w:val="24"/>
          <w:lang w:val="en-US"/>
        </w:rPr>
        <w:t>ithin Indigenous Knowledge systems,</w:t>
      </w:r>
      <w:r w:rsidR="00496C3B">
        <w:rPr>
          <w:rFonts w:ascii="Segoe UI" w:hAnsi="Segoe UI" w:cs="Segoe UI"/>
          <w:sz w:val="24"/>
          <w:szCs w:val="24"/>
          <w:lang w:val="en-US"/>
        </w:rPr>
        <w:t xml:space="preserve"> birds and animals are living beings and not just valued ecosystem components.</w:t>
      </w:r>
      <w:r w:rsidR="001A0AE9">
        <w:rPr>
          <w:rFonts w:ascii="Segoe UI" w:hAnsi="Segoe UI" w:cs="Segoe UI"/>
          <w:sz w:val="24"/>
          <w:szCs w:val="24"/>
          <w:lang w:val="en-US"/>
        </w:rPr>
        <w:t xml:space="preserve"> Documentation should consider this world view when </w:t>
      </w:r>
      <w:r w:rsidR="00904344">
        <w:rPr>
          <w:rFonts w:ascii="Segoe UI" w:hAnsi="Segoe UI" w:cs="Segoe UI"/>
          <w:sz w:val="24"/>
          <w:szCs w:val="24"/>
          <w:lang w:val="en-US"/>
        </w:rPr>
        <w:t xml:space="preserve">determining </w:t>
      </w:r>
      <w:r w:rsidR="001A0AE9">
        <w:rPr>
          <w:rFonts w:ascii="Segoe UI" w:hAnsi="Segoe UI" w:cs="Segoe UI"/>
          <w:sz w:val="24"/>
          <w:szCs w:val="24"/>
          <w:lang w:val="en-US"/>
        </w:rPr>
        <w:t xml:space="preserve">the project’s potential effects on species. </w:t>
      </w:r>
    </w:p>
    <w:p w14:paraId="6D533855" w14:textId="34338E94" w:rsidR="009A4745" w:rsidRDefault="00E93B31" w:rsidP="00FA7AEC">
      <w:pPr>
        <w:numPr>
          <w:ilvl w:val="0"/>
          <w:numId w:val="3"/>
        </w:numPr>
        <w:ind w:left="720"/>
        <w:contextualSpacing/>
        <w:jc w:val="both"/>
        <w:rPr>
          <w:rFonts w:ascii="Segoe UI" w:hAnsi="Segoe UI" w:cs="Segoe UI"/>
          <w:sz w:val="24"/>
          <w:szCs w:val="24"/>
          <w:lang w:val="en-US"/>
        </w:rPr>
      </w:pPr>
      <w:r>
        <w:rPr>
          <w:rFonts w:ascii="Segoe UI" w:hAnsi="Segoe UI" w:cs="Segoe UI"/>
          <w:sz w:val="24"/>
          <w:szCs w:val="24"/>
          <w:lang w:val="en-US"/>
        </w:rPr>
        <w:t>CNSC and OPG should consider s</w:t>
      </w:r>
      <w:r w:rsidR="00045B80">
        <w:rPr>
          <w:rFonts w:ascii="Segoe UI" w:hAnsi="Segoe UI" w:cs="Segoe UI"/>
          <w:sz w:val="24"/>
          <w:szCs w:val="24"/>
          <w:lang w:val="en-US"/>
        </w:rPr>
        <w:t>pecies</w:t>
      </w:r>
      <w:r w:rsidR="006476E1">
        <w:rPr>
          <w:rFonts w:ascii="Segoe UI" w:hAnsi="Segoe UI" w:cs="Segoe UI"/>
          <w:sz w:val="24"/>
          <w:szCs w:val="24"/>
          <w:lang w:val="en-US"/>
        </w:rPr>
        <w:t xml:space="preserve"> at risk</w:t>
      </w:r>
      <w:r w:rsidR="00045B80">
        <w:rPr>
          <w:rFonts w:ascii="Segoe UI" w:hAnsi="Segoe UI" w:cs="Segoe UI"/>
          <w:sz w:val="24"/>
          <w:szCs w:val="24"/>
          <w:lang w:val="en-US"/>
        </w:rPr>
        <w:t xml:space="preserve"> and cultural keystone species</w:t>
      </w:r>
      <w:r w:rsidR="00280541" w:rsidRPr="001A0AE9">
        <w:rPr>
          <w:rFonts w:ascii="Segoe UI" w:hAnsi="Segoe UI" w:cs="Segoe UI"/>
          <w:sz w:val="24"/>
          <w:szCs w:val="24"/>
          <w:lang w:val="en-US"/>
        </w:rPr>
        <w:t xml:space="preserve"> when environmental monitoring </w:t>
      </w:r>
      <w:r w:rsidR="00F22791">
        <w:rPr>
          <w:rFonts w:ascii="Segoe UI" w:hAnsi="Segoe UI" w:cs="Segoe UI"/>
          <w:sz w:val="24"/>
          <w:szCs w:val="24"/>
          <w:lang w:val="en-US"/>
        </w:rPr>
        <w:t>and</w:t>
      </w:r>
      <w:r w:rsidR="00280541" w:rsidRPr="001A0AE9">
        <w:rPr>
          <w:rFonts w:ascii="Segoe UI" w:hAnsi="Segoe UI" w:cs="Segoe UI"/>
          <w:sz w:val="24"/>
          <w:szCs w:val="24"/>
          <w:lang w:val="en-US"/>
        </w:rPr>
        <w:t xml:space="preserve"> ecological surveys</w:t>
      </w:r>
      <w:r w:rsidR="00F22791">
        <w:rPr>
          <w:rFonts w:ascii="Segoe UI" w:hAnsi="Segoe UI" w:cs="Segoe UI"/>
          <w:sz w:val="24"/>
          <w:szCs w:val="24"/>
          <w:lang w:val="en-US"/>
        </w:rPr>
        <w:t xml:space="preserve"> are performed</w:t>
      </w:r>
      <w:r w:rsidR="00795C19">
        <w:rPr>
          <w:rFonts w:ascii="Segoe UI" w:hAnsi="Segoe UI" w:cs="Segoe UI"/>
          <w:sz w:val="24"/>
          <w:szCs w:val="24"/>
          <w:lang w:val="en-US"/>
        </w:rPr>
        <w:t>. Protective measures should be outlined in a</w:t>
      </w:r>
      <w:r w:rsidR="009A4745">
        <w:rPr>
          <w:rFonts w:ascii="Segoe UI" w:hAnsi="Segoe UI" w:cs="Segoe UI"/>
          <w:sz w:val="24"/>
          <w:szCs w:val="24"/>
          <w:lang w:val="en-US"/>
        </w:rPr>
        <w:t xml:space="preserve"> long-term</w:t>
      </w:r>
      <w:r w:rsidR="00795C19">
        <w:rPr>
          <w:rFonts w:ascii="Segoe UI" w:hAnsi="Segoe UI" w:cs="Segoe UI"/>
          <w:sz w:val="24"/>
          <w:szCs w:val="24"/>
          <w:lang w:val="en-US"/>
        </w:rPr>
        <w:t xml:space="preserve"> ecological management plan</w:t>
      </w:r>
      <w:r w:rsidR="00F22791">
        <w:rPr>
          <w:rFonts w:ascii="Segoe UI" w:hAnsi="Segoe UI" w:cs="Segoe UI"/>
          <w:sz w:val="24"/>
          <w:szCs w:val="24"/>
          <w:lang w:val="en-US"/>
        </w:rPr>
        <w:t>.</w:t>
      </w:r>
    </w:p>
    <w:p w14:paraId="7DD12133" w14:textId="386D7A38" w:rsidR="00D31BEC" w:rsidRPr="00C45C78" w:rsidRDefault="00E93B31" w:rsidP="00FA7AEC">
      <w:pPr>
        <w:numPr>
          <w:ilvl w:val="0"/>
          <w:numId w:val="3"/>
        </w:numPr>
        <w:ind w:left="714" w:hanging="357"/>
        <w:jc w:val="both"/>
        <w:rPr>
          <w:rFonts w:ascii="Segoe UI" w:hAnsi="Segoe UI" w:cs="Segoe UI"/>
          <w:sz w:val="24"/>
          <w:szCs w:val="24"/>
          <w:lang w:val="en-US"/>
        </w:rPr>
      </w:pPr>
      <w:r>
        <w:rPr>
          <w:rFonts w:ascii="Segoe UI" w:hAnsi="Segoe UI" w:cs="Segoe UI"/>
          <w:sz w:val="24"/>
          <w:szCs w:val="24"/>
          <w:lang w:val="en-US"/>
        </w:rPr>
        <w:t xml:space="preserve">OPG should provide </w:t>
      </w:r>
      <w:r w:rsidR="00197D14">
        <w:rPr>
          <w:rFonts w:ascii="Segoe UI" w:hAnsi="Segoe UI" w:cs="Segoe UI"/>
          <w:sz w:val="24"/>
          <w:szCs w:val="24"/>
          <w:lang w:val="en-US"/>
        </w:rPr>
        <w:t>m</w:t>
      </w:r>
      <w:r w:rsidR="00B53DC6">
        <w:rPr>
          <w:rFonts w:ascii="Segoe UI" w:hAnsi="Segoe UI" w:cs="Segoe UI"/>
          <w:sz w:val="24"/>
          <w:szCs w:val="24"/>
          <w:lang w:val="en-US"/>
        </w:rPr>
        <w:t xml:space="preserve">ore information regarding measures that will be taken to protect natural environmental features and habitats </w:t>
      </w:r>
      <w:r w:rsidR="00904344">
        <w:rPr>
          <w:rFonts w:ascii="Segoe UI" w:hAnsi="Segoe UI" w:cs="Segoe UI"/>
          <w:sz w:val="24"/>
          <w:szCs w:val="24"/>
          <w:lang w:val="en-US"/>
        </w:rPr>
        <w:t>during,</w:t>
      </w:r>
      <w:r w:rsidR="00B53DC6">
        <w:rPr>
          <w:rFonts w:ascii="Segoe UI" w:hAnsi="Segoe UI" w:cs="Segoe UI"/>
          <w:sz w:val="24"/>
          <w:szCs w:val="24"/>
          <w:lang w:val="en-US"/>
        </w:rPr>
        <w:t xml:space="preserve"> and post construction.</w:t>
      </w:r>
    </w:p>
    <w:p w14:paraId="29E80916" w14:textId="6AF4B710" w:rsidR="004B2CAB" w:rsidRDefault="009A4745" w:rsidP="00904344">
      <w:pPr>
        <w:jc w:val="both"/>
        <w:rPr>
          <w:rFonts w:ascii="Segoe UI" w:hAnsi="Segoe UI" w:cs="Segoe UI"/>
          <w:sz w:val="24"/>
          <w:szCs w:val="24"/>
          <w:lang w:val="en-US"/>
        </w:rPr>
      </w:pPr>
      <w:r w:rsidRPr="006476E1">
        <w:rPr>
          <w:rFonts w:ascii="Segoe UI" w:hAnsi="Segoe UI" w:cs="Segoe UI"/>
          <w:sz w:val="24"/>
          <w:szCs w:val="24"/>
        </w:rPr>
        <w:t xml:space="preserve">The Environmental Effects and Risk Assessment theme also attracted cross-cutting comments </w:t>
      </w:r>
      <w:r w:rsidR="0028349D">
        <w:rPr>
          <w:rFonts w:ascii="Segoe UI" w:hAnsi="Segoe UI" w:cs="Segoe UI"/>
          <w:sz w:val="24"/>
          <w:szCs w:val="24"/>
        </w:rPr>
        <w:t xml:space="preserve">regarding </w:t>
      </w:r>
      <w:r w:rsidR="001055A2">
        <w:rPr>
          <w:rFonts w:ascii="Segoe UI" w:hAnsi="Segoe UI" w:cs="Segoe UI"/>
          <w:sz w:val="24"/>
          <w:szCs w:val="24"/>
        </w:rPr>
        <w:t xml:space="preserve">barriers to </w:t>
      </w:r>
      <w:r w:rsidR="00375758">
        <w:rPr>
          <w:rFonts w:ascii="Segoe UI" w:hAnsi="Segoe UI" w:cs="Segoe UI"/>
          <w:sz w:val="24"/>
          <w:szCs w:val="24"/>
        </w:rPr>
        <w:t xml:space="preserve">accessing </w:t>
      </w:r>
      <w:r w:rsidR="001055A2">
        <w:rPr>
          <w:rFonts w:ascii="Segoe UI" w:hAnsi="Segoe UI" w:cs="Segoe UI"/>
          <w:sz w:val="24"/>
          <w:szCs w:val="24"/>
        </w:rPr>
        <w:t>document</w:t>
      </w:r>
      <w:r w:rsidR="00375758">
        <w:rPr>
          <w:rFonts w:ascii="Segoe UI" w:hAnsi="Segoe UI" w:cs="Segoe UI"/>
          <w:sz w:val="24"/>
          <w:szCs w:val="24"/>
        </w:rPr>
        <w:t>s</w:t>
      </w:r>
      <w:r w:rsidR="0028349D">
        <w:rPr>
          <w:rFonts w:ascii="Segoe UI" w:hAnsi="Segoe UI" w:cs="Segoe UI"/>
          <w:sz w:val="24"/>
          <w:szCs w:val="24"/>
        </w:rPr>
        <w:t xml:space="preserve">. Participants identified </w:t>
      </w:r>
      <w:r w:rsidRPr="006476E1">
        <w:rPr>
          <w:rFonts w:ascii="Segoe UI" w:hAnsi="Segoe UI" w:cs="Segoe UI"/>
          <w:sz w:val="24"/>
          <w:szCs w:val="24"/>
        </w:rPr>
        <w:t xml:space="preserve">that greater transparency can be achieved by the CNSC </w:t>
      </w:r>
      <w:r w:rsidR="0028349D">
        <w:rPr>
          <w:rFonts w:ascii="Segoe UI" w:hAnsi="Segoe UI" w:cs="Segoe UI"/>
          <w:sz w:val="24"/>
          <w:szCs w:val="24"/>
        </w:rPr>
        <w:t xml:space="preserve">by </w:t>
      </w:r>
      <w:r w:rsidRPr="006476E1">
        <w:rPr>
          <w:rFonts w:ascii="Segoe UI" w:hAnsi="Segoe UI" w:cs="Segoe UI"/>
          <w:sz w:val="24"/>
          <w:szCs w:val="24"/>
        </w:rPr>
        <w:t>enhancing its proactive disclosure practice</w:t>
      </w:r>
      <w:r w:rsidR="0028349D">
        <w:rPr>
          <w:rFonts w:ascii="Segoe UI" w:hAnsi="Segoe UI" w:cs="Segoe UI"/>
          <w:sz w:val="24"/>
          <w:szCs w:val="24"/>
        </w:rPr>
        <w:t xml:space="preserve">s and allowing documents to be easily downloaded directly from nuclearsafety.gc.ca and keeping all documents in one location. </w:t>
      </w:r>
      <w:r w:rsidR="006476E1" w:rsidRPr="006476E1">
        <w:rPr>
          <w:rFonts w:ascii="Segoe UI" w:hAnsi="Segoe UI" w:cs="Segoe UI"/>
          <w:sz w:val="24"/>
          <w:szCs w:val="24"/>
        </w:rPr>
        <w:t xml:space="preserve"> </w:t>
      </w:r>
      <w:r w:rsidR="006476E1">
        <w:rPr>
          <w:rFonts w:ascii="Segoe UI" w:hAnsi="Segoe UI" w:cs="Segoe UI"/>
          <w:sz w:val="24"/>
          <w:szCs w:val="24"/>
        </w:rPr>
        <w:t xml:space="preserve">Participants </w:t>
      </w:r>
      <w:r w:rsidR="0028349D">
        <w:rPr>
          <w:rFonts w:ascii="Segoe UI" w:hAnsi="Segoe UI" w:cs="Segoe UI"/>
          <w:sz w:val="24"/>
          <w:szCs w:val="24"/>
        </w:rPr>
        <w:t xml:space="preserve">raised similar concerns </w:t>
      </w:r>
      <w:r w:rsidR="004B70BF">
        <w:rPr>
          <w:rFonts w:ascii="Segoe UI" w:hAnsi="Segoe UI" w:cs="Segoe UI"/>
          <w:sz w:val="24"/>
          <w:szCs w:val="24"/>
        </w:rPr>
        <w:t>to</w:t>
      </w:r>
      <w:r w:rsidR="0028349D">
        <w:rPr>
          <w:rFonts w:ascii="Segoe UI" w:hAnsi="Segoe UI" w:cs="Segoe UI"/>
          <w:sz w:val="24"/>
          <w:szCs w:val="24"/>
        </w:rPr>
        <w:t xml:space="preserve"> </w:t>
      </w:r>
      <w:r w:rsidR="006476E1" w:rsidRPr="006476E1">
        <w:rPr>
          <w:rFonts w:ascii="Segoe UI" w:hAnsi="Segoe UI" w:cs="Segoe UI"/>
          <w:sz w:val="24"/>
          <w:szCs w:val="24"/>
          <w:lang w:val="en-US"/>
        </w:rPr>
        <w:t xml:space="preserve">OPG </w:t>
      </w:r>
      <w:r w:rsidR="0028349D">
        <w:rPr>
          <w:rFonts w:ascii="Segoe UI" w:hAnsi="Segoe UI" w:cs="Segoe UI"/>
          <w:sz w:val="24"/>
          <w:szCs w:val="24"/>
          <w:lang w:val="en-US"/>
        </w:rPr>
        <w:t xml:space="preserve">and noted OPG </w:t>
      </w:r>
      <w:r w:rsidR="006476E1" w:rsidRPr="006476E1">
        <w:rPr>
          <w:rFonts w:ascii="Segoe UI" w:hAnsi="Segoe UI" w:cs="Segoe UI"/>
          <w:sz w:val="24"/>
          <w:szCs w:val="24"/>
          <w:lang w:val="en-US"/>
        </w:rPr>
        <w:t>should prepare reports in a manner that the public can comprehend.</w:t>
      </w:r>
    </w:p>
    <w:p w14:paraId="0142A45F" w14:textId="7DF5204A" w:rsidR="004A7405" w:rsidRPr="004A7405" w:rsidRDefault="00C81EFD" w:rsidP="004A7405">
      <w:pPr>
        <w:spacing w:before="120" w:after="240"/>
        <w:jc w:val="both"/>
        <w:rPr>
          <w:rFonts w:ascii="Segoe UI" w:hAnsi="Segoe UI" w:cs="Segoe UI"/>
          <w:b/>
          <w:bCs/>
          <w:sz w:val="32"/>
          <w:szCs w:val="32"/>
        </w:rPr>
      </w:pPr>
      <w:r w:rsidRPr="00C81EFD">
        <w:rPr>
          <w:rFonts w:ascii="Segoe UI" w:hAnsi="Segoe UI" w:cs="Segoe UI"/>
          <w:b/>
          <w:bCs/>
          <w:sz w:val="32"/>
          <w:szCs w:val="32"/>
        </w:rPr>
        <w:t>Waste Management and Decommissioning</w:t>
      </w:r>
    </w:p>
    <w:p w14:paraId="2AD90874" w14:textId="5A22B9E6" w:rsidR="00FB59BE" w:rsidRPr="00FB59BE" w:rsidRDefault="00FB59BE" w:rsidP="00FB59BE">
      <w:pPr>
        <w:rPr>
          <w:rFonts w:ascii="Segoe UI" w:hAnsi="Segoe UI" w:cs="Segoe UI"/>
          <w:b/>
          <w:bCs/>
          <w:sz w:val="24"/>
          <w:szCs w:val="24"/>
          <w:lang w:val="en-US"/>
        </w:rPr>
      </w:pPr>
      <w:r>
        <w:rPr>
          <w:rFonts w:ascii="Segoe UI" w:hAnsi="Segoe UI" w:cs="Segoe UI"/>
          <w:b/>
          <w:bCs/>
          <w:sz w:val="24"/>
          <w:szCs w:val="24"/>
          <w:lang w:val="en-US"/>
        </w:rPr>
        <w:t>Waste Management, Inventory and Storage</w:t>
      </w:r>
    </w:p>
    <w:p w14:paraId="6567C513" w14:textId="475AF592" w:rsidR="00EC0CEE" w:rsidRPr="004A7405" w:rsidRDefault="004B70BF" w:rsidP="00FA7AEC">
      <w:pPr>
        <w:pStyle w:val="ListParagraph"/>
        <w:numPr>
          <w:ilvl w:val="0"/>
          <w:numId w:val="6"/>
        </w:numPr>
        <w:jc w:val="both"/>
        <w:rPr>
          <w:lang w:val="en-US"/>
        </w:rPr>
      </w:pPr>
      <w:r>
        <w:rPr>
          <w:rFonts w:ascii="Segoe UI" w:hAnsi="Segoe UI" w:cs="Segoe UI"/>
          <w:sz w:val="24"/>
          <w:szCs w:val="24"/>
        </w:rPr>
        <w:t xml:space="preserve">Consulting </w:t>
      </w:r>
      <w:r w:rsidR="00D873E8">
        <w:rPr>
          <w:rFonts w:ascii="Segoe UI" w:hAnsi="Segoe UI" w:cs="Segoe UI"/>
          <w:sz w:val="24"/>
          <w:szCs w:val="24"/>
        </w:rPr>
        <w:t xml:space="preserve">with Indigenous Nations </w:t>
      </w:r>
      <w:r w:rsidR="00725959">
        <w:rPr>
          <w:rFonts w:ascii="Segoe UI" w:hAnsi="Segoe UI" w:cs="Segoe UI"/>
          <w:sz w:val="24"/>
          <w:szCs w:val="24"/>
        </w:rPr>
        <w:t xml:space="preserve">and communities </w:t>
      </w:r>
      <w:r w:rsidR="00D873E8">
        <w:rPr>
          <w:rFonts w:ascii="Segoe UI" w:hAnsi="Segoe UI" w:cs="Segoe UI"/>
          <w:sz w:val="24"/>
          <w:szCs w:val="24"/>
        </w:rPr>
        <w:t xml:space="preserve">and </w:t>
      </w:r>
      <w:r w:rsidR="00725959">
        <w:rPr>
          <w:rFonts w:ascii="Segoe UI" w:hAnsi="Segoe UI" w:cs="Segoe UI"/>
          <w:sz w:val="24"/>
          <w:szCs w:val="24"/>
        </w:rPr>
        <w:t xml:space="preserve">engaging with </w:t>
      </w:r>
      <w:r w:rsidR="00D873E8">
        <w:rPr>
          <w:rFonts w:ascii="Segoe UI" w:hAnsi="Segoe UI" w:cs="Segoe UI"/>
          <w:sz w:val="24"/>
          <w:szCs w:val="24"/>
        </w:rPr>
        <w:t xml:space="preserve">local governments </w:t>
      </w:r>
      <w:r>
        <w:rPr>
          <w:rFonts w:ascii="Segoe UI" w:hAnsi="Segoe UI" w:cs="Segoe UI"/>
          <w:sz w:val="24"/>
          <w:szCs w:val="24"/>
        </w:rPr>
        <w:t>should be</w:t>
      </w:r>
      <w:r w:rsidR="00D873E8">
        <w:rPr>
          <w:rFonts w:ascii="Segoe UI" w:hAnsi="Segoe UI" w:cs="Segoe UI"/>
          <w:sz w:val="24"/>
          <w:szCs w:val="24"/>
        </w:rPr>
        <w:t xml:space="preserve"> paramount to all discussions relating to </w:t>
      </w:r>
      <w:r>
        <w:rPr>
          <w:rFonts w:ascii="Segoe UI" w:hAnsi="Segoe UI" w:cs="Segoe UI"/>
          <w:sz w:val="24"/>
          <w:szCs w:val="24"/>
        </w:rPr>
        <w:t xml:space="preserve">spent fuel management, and </w:t>
      </w:r>
      <w:r w:rsidR="00D873E8">
        <w:rPr>
          <w:rFonts w:ascii="Segoe UI" w:hAnsi="Segoe UI" w:cs="Segoe UI"/>
          <w:sz w:val="24"/>
          <w:szCs w:val="24"/>
        </w:rPr>
        <w:t>the siting of a deep geological repository</w:t>
      </w:r>
      <w:r w:rsidR="007D00C9">
        <w:rPr>
          <w:rFonts w:ascii="Segoe UI" w:hAnsi="Segoe UI" w:cs="Segoe UI"/>
          <w:sz w:val="24"/>
          <w:szCs w:val="24"/>
        </w:rPr>
        <w:t>.</w:t>
      </w:r>
    </w:p>
    <w:p w14:paraId="1865DB7E" w14:textId="4D6CFB4F" w:rsidR="004A7405" w:rsidRPr="00EF611A" w:rsidRDefault="00E93B31" w:rsidP="00FA7AEC">
      <w:pPr>
        <w:pStyle w:val="ListParagraph"/>
        <w:numPr>
          <w:ilvl w:val="0"/>
          <w:numId w:val="6"/>
        </w:numPr>
        <w:jc w:val="both"/>
        <w:rPr>
          <w:lang w:val="en-US"/>
        </w:rPr>
      </w:pPr>
      <w:r>
        <w:rPr>
          <w:rFonts w:ascii="Segoe UI" w:hAnsi="Segoe UI" w:cs="Segoe UI"/>
          <w:sz w:val="24"/>
          <w:szCs w:val="24"/>
        </w:rPr>
        <w:t>OPG should provide a</w:t>
      </w:r>
      <w:r w:rsidR="00055413">
        <w:rPr>
          <w:rFonts w:ascii="Segoe UI" w:hAnsi="Segoe UI" w:cs="Segoe UI"/>
          <w:sz w:val="24"/>
          <w:szCs w:val="24"/>
        </w:rPr>
        <w:t xml:space="preserve"> strengthened rationale for why the EIS is still appropriate, despite an acknowledgment by OPG that the</w:t>
      </w:r>
      <w:r w:rsidR="004A7405">
        <w:rPr>
          <w:rFonts w:ascii="Segoe UI" w:hAnsi="Segoe UI" w:cs="Segoe UI"/>
          <w:sz w:val="24"/>
          <w:szCs w:val="24"/>
        </w:rPr>
        <w:t xml:space="preserve"> BWRX-300’s production of solid waste will be higher.</w:t>
      </w:r>
    </w:p>
    <w:p w14:paraId="12CD2751" w14:textId="55702C87" w:rsidR="00055413" w:rsidRPr="008031B4" w:rsidRDefault="00E93B31" w:rsidP="00FA7AEC">
      <w:pPr>
        <w:pStyle w:val="ListParagraph"/>
        <w:numPr>
          <w:ilvl w:val="0"/>
          <w:numId w:val="6"/>
        </w:numPr>
        <w:jc w:val="both"/>
        <w:rPr>
          <w:lang w:val="en-US"/>
        </w:rPr>
      </w:pPr>
      <w:r>
        <w:rPr>
          <w:rFonts w:ascii="Segoe UI" w:hAnsi="Segoe UI" w:cs="Segoe UI"/>
          <w:sz w:val="24"/>
          <w:szCs w:val="24"/>
        </w:rPr>
        <w:t>OPG should p</w:t>
      </w:r>
      <w:r w:rsidR="00055413">
        <w:rPr>
          <w:rFonts w:ascii="Segoe UI" w:hAnsi="Segoe UI" w:cs="Segoe UI"/>
          <w:sz w:val="24"/>
          <w:szCs w:val="24"/>
        </w:rPr>
        <w:t>rovid</w:t>
      </w:r>
      <w:r w:rsidR="0048372D">
        <w:rPr>
          <w:rFonts w:ascii="Segoe UI" w:hAnsi="Segoe UI" w:cs="Segoe UI"/>
          <w:sz w:val="24"/>
          <w:szCs w:val="24"/>
        </w:rPr>
        <w:t>e</w:t>
      </w:r>
      <w:r w:rsidR="00055413">
        <w:rPr>
          <w:rFonts w:ascii="Segoe UI" w:hAnsi="Segoe UI" w:cs="Segoe UI"/>
          <w:sz w:val="24"/>
          <w:szCs w:val="24"/>
        </w:rPr>
        <w:t xml:space="preserve"> greater information regarding</w:t>
      </w:r>
      <w:r w:rsidR="00EA229D">
        <w:rPr>
          <w:rFonts w:ascii="Segoe UI" w:hAnsi="Segoe UI" w:cs="Segoe UI"/>
          <w:sz w:val="24"/>
          <w:szCs w:val="24"/>
        </w:rPr>
        <w:t xml:space="preserve"> the location of waste storage facilities in the </w:t>
      </w:r>
      <w:r w:rsidR="004B70BF">
        <w:rPr>
          <w:rFonts w:ascii="Segoe UI" w:hAnsi="Segoe UI" w:cs="Segoe UI"/>
          <w:sz w:val="24"/>
          <w:szCs w:val="24"/>
        </w:rPr>
        <w:t>c</w:t>
      </w:r>
      <w:r w:rsidR="00EA229D">
        <w:rPr>
          <w:rFonts w:ascii="Segoe UI" w:hAnsi="Segoe UI" w:cs="Segoe UI"/>
          <w:sz w:val="24"/>
          <w:szCs w:val="24"/>
        </w:rPr>
        <w:t xml:space="preserve">onceptual </w:t>
      </w:r>
      <w:r w:rsidR="004B70BF">
        <w:rPr>
          <w:rFonts w:ascii="Segoe UI" w:hAnsi="Segoe UI" w:cs="Segoe UI"/>
          <w:sz w:val="24"/>
          <w:szCs w:val="24"/>
        </w:rPr>
        <w:t>p</w:t>
      </w:r>
      <w:r w:rsidR="00EA229D">
        <w:rPr>
          <w:rFonts w:ascii="Segoe UI" w:hAnsi="Segoe UI" w:cs="Segoe UI"/>
          <w:sz w:val="24"/>
          <w:szCs w:val="24"/>
        </w:rPr>
        <w:t>lant layout</w:t>
      </w:r>
      <w:r>
        <w:rPr>
          <w:rFonts w:ascii="Segoe UI" w:hAnsi="Segoe UI" w:cs="Segoe UI"/>
          <w:sz w:val="24"/>
          <w:szCs w:val="24"/>
        </w:rPr>
        <w:t xml:space="preserve">. </w:t>
      </w:r>
    </w:p>
    <w:p w14:paraId="15D4E947" w14:textId="19A936A4" w:rsidR="008031B4" w:rsidRPr="000F6A28" w:rsidRDefault="004B70BF" w:rsidP="00FA7AEC">
      <w:pPr>
        <w:pStyle w:val="ListParagraph"/>
        <w:numPr>
          <w:ilvl w:val="0"/>
          <w:numId w:val="6"/>
        </w:numPr>
        <w:jc w:val="both"/>
        <w:rPr>
          <w:lang w:val="en-US"/>
        </w:rPr>
      </w:pPr>
      <w:r>
        <w:rPr>
          <w:rFonts w:ascii="Segoe UI" w:hAnsi="Segoe UI" w:cs="Segoe UI"/>
          <w:sz w:val="24"/>
          <w:szCs w:val="24"/>
        </w:rPr>
        <w:t>T</w:t>
      </w:r>
      <w:r w:rsidR="008031B4">
        <w:rPr>
          <w:rFonts w:ascii="Segoe UI" w:hAnsi="Segoe UI" w:cs="Segoe UI"/>
          <w:sz w:val="24"/>
          <w:szCs w:val="24"/>
        </w:rPr>
        <w:t>he Nuclear Waste Management Organization</w:t>
      </w:r>
      <w:r w:rsidR="00787F25">
        <w:rPr>
          <w:rFonts w:ascii="Segoe UI" w:hAnsi="Segoe UI" w:cs="Segoe UI"/>
          <w:sz w:val="24"/>
          <w:szCs w:val="24"/>
        </w:rPr>
        <w:t xml:space="preserve"> should clarify its</w:t>
      </w:r>
      <w:r w:rsidR="008031B4">
        <w:rPr>
          <w:rFonts w:ascii="Segoe UI" w:hAnsi="Segoe UI" w:cs="Segoe UI"/>
          <w:sz w:val="24"/>
          <w:szCs w:val="24"/>
        </w:rPr>
        <w:t xml:space="preserve"> mandate and authority to weigh-in on the future location of a deep geological repository, and how it will accommodate the BWRX-300’s fuel assembly</w:t>
      </w:r>
      <w:r w:rsidR="00787F25">
        <w:rPr>
          <w:rFonts w:ascii="Segoe UI" w:hAnsi="Segoe UI" w:cs="Segoe UI"/>
          <w:sz w:val="24"/>
          <w:szCs w:val="24"/>
        </w:rPr>
        <w:t>.</w:t>
      </w:r>
    </w:p>
    <w:p w14:paraId="415FF894" w14:textId="02A73E84" w:rsidR="00FB59BE" w:rsidRDefault="00FB59BE" w:rsidP="00FB59BE">
      <w:pPr>
        <w:ind w:left="360"/>
        <w:rPr>
          <w:rFonts w:ascii="Segoe UI" w:hAnsi="Segoe UI" w:cs="Segoe UI"/>
          <w:b/>
          <w:bCs/>
          <w:sz w:val="24"/>
          <w:szCs w:val="24"/>
          <w:lang w:val="en-US"/>
        </w:rPr>
      </w:pPr>
      <w:r>
        <w:rPr>
          <w:rFonts w:ascii="Segoe UI" w:hAnsi="Segoe UI" w:cs="Segoe UI"/>
          <w:b/>
          <w:bCs/>
          <w:sz w:val="24"/>
          <w:szCs w:val="24"/>
          <w:lang w:val="en-US"/>
        </w:rPr>
        <w:t>Decommissioning</w:t>
      </w:r>
    </w:p>
    <w:p w14:paraId="2AB2D2B5" w14:textId="518BAFA1" w:rsidR="004A7405" w:rsidRPr="004A7405" w:rsidRDefault="00E93B31" w:rsidP="00FA7AEC">
      <w:pPr>
        <w:pStyle w:val="ListParagraph"/>
        <w:numPr>
          <w:ilvl w:val="0"/>
          <w:numId w:val="6"/>
        </w:numPr>
        <w:jc w:val="both"/>
        <w:rPr>
          <w:rFonts w:ascii="Segoe UI" w:hAnsi="Segoe UI" w:cs="Segoe UI"/>
          <w:sz w:val="24"/>
          <w:szCs w:val="24"/>
        </w:rPr>
      </w:pPr>
      <w:r>
        <w:rPr>
          <w:rFonts w:ascii="Segoe UI" w:hAnsi="Segoe UI" w:cs="Segoe UI"/>
          <w:sz w:val="24"/>
          <w:szCs w:val="24"/>
        </w:rPr>
        <w:t>OPG should d</w:t>
      </w:r>
      <w:r w:rsidR="004A7405">
        <w:rPr>
          <w:rFonts w:ascii="Segoe UI" w:hAnsi="Segoe UI" w:cs="Segoe UI"/>
          <w:sz w:val="24"/>
          <w:szCs w:val="24"/>
        </w:rPr>
        <w:t xml:space="preserve">ocument a non-theoretical </w:t>
      </w:r>
      <w:r w:rsidR="004A7405" w:rsidRPr="00EC0CEE">
        <w:rPr>
          <w:rFonts w:ascii="Segoe UI" w:hAnsi="Segoe UI" w:cs="Segoe UI"/>
          <w:sz w:val="24"/>
          <w:szCs w:val="24"/>
        </w:rPr>
        <w:t xml:space="preserve">decommissioning </w:t>
      </w:r>
      <w:r w:rsidR="004A7405">
        <w:rPr>
          <w:rFonts w:ascii="Segoe UI" w:hAnsi="Segoe UI" w:cs="Segoe UI"/>
          <w:sz w:val="24"/>
          <w:szCs w:val="24"/>
        </w:rPr>
        <w:t>strategic plan</w:t>
      </w:r>
      <w:r w:rsidR="004A7405" w:rsidRPr="00EC0CEE">
        <w:rPr>
          <w:rFonts w:ascii="Segoe UI" w:hAnsi="Segoe UI" w:cs="Segoe UI"/>
          <w:sz w:val="24"/>
          <w:szCs w:val="24"/>
        </w:rPr>
        <w:t xml:space="preserve"> designed specifically for </w:t>
      </w:r>
      <w:r w:rsidR="004A7405">
        <w:rPr>
          <w:rFonts w:ascii="Segoe UI" w:hAnsi="Segoe UI" w:cs="Segoe UI"/>
          <w:sz w:val="24"/>
          <w:szCs w:val="24"/>
        </w:rPr>
        <w:t>the</w:t>
      </w:r>
      <w:r w:rsidR="004A7405" w:rsidRPr="00EC0CEE">
        <w:rPr>
          <w:rFonts w:ascii="Segoe UI" w:hAnsi="Segoe UI" w:cs="Segoe UI"/>
          <w:sz w:val="24"/>
          <w:szCs w:val="24"/>
        </w:rPr>
        <w:t xml:space="preserve"> BWRX-300</w:t>
      </w:r>
      <w:r w:rsidR="004A7405">
        <w:rPr>
          <w:rFonts w:ascii="Segoe UI" w:hAnsi="Segoe UI" w:cs="Segoe UI"/>
          <w:sz w:val="24"/>
          <w:szCs w:val="24"/>
        </w:rPr>
        <w:t xml:space="preserve">, and its impact on the environment, </w:t>
      </w:r>
      <w:r w:rsidR="00D97020">
        <w:rPr>
          <w:rFonts w:ascii="Segoe UI" w:hAnsi="Segoe UI" w:cs="Segoe UI"/>
          <w:sz w:val="24"/>
          <w:szCs w:val="24"/>
        </w:rPr>
        <w:t xml:space="preserve">to </w:t>
      </w:r>
      <w:r w:rsidR="004A7405">
        <w:rPr>
          <w:rFonts w:ascii="Segoe UI" w:hAnsi="Segoe UI" w:cs="Segoe UI"/>
          <w:sz w:val="24"/>
          <w:szCs w:val="24"/>
        </w:rPr>
        <w:t xml:space="preserve">demonstrate that the </w:t>
      </w:r>
      <w:r w:rsidR="004A7405" w:rsidRPr="00EC0CEE">
        <w:rPr>
          <w:rFonts w:ascii="Segoe UI" w:hAnsi="Segoe UI" w:cs="Segoe UI"/>
          <w:sz w:val="24"/>
          <w:szCs w:val="24"/>
        </w:rPr>
        <w:t>technology</w:t>
      </w:r>
      <w:r w:rsidR="00D97020">
        <w:rPr>
          <w:rFonts w:ascii="Segoe UI" w:hAnsi="Segoe UI" w:cs="Segoe UI"/>
          <w:sz w:val="24"/>
          <w:szCs w:val="24"/>
        </w:rPr>
        <w:t xml:space="preserve"> remains within the bounds of the </w:t>
      </w:r>
      <w:r w:rsidR="007B40B2">
        <w:rPr>
          <w:rFonts w:ascii="Segoe UI" w:hAnsi="Segoe UI" w:cs="Segoe UI"/>
          <w:sz w:val="24"/>
          <w:szCs w:val="24"/>
        </w:rPr>
        <w:t>Government</w:t>
      </w:r>
      <w:r w:rsidR="007C67E0">
        <w:rPr>
          <w:rFonts w:ascii="Segoe UI" w:hAnsi="Segoe UI" w:cs="Segoe UI"/>
          <w:sz w:val="24"/>
          <w:szCs w:val="24"/>
        </w:rPr>
        <w:t xml:space="preserve"> of Canada</w:t>
      </w:r>
      <w:r w:rsidR="007B40B2">
        <w:rPr>
          <w:rFonts w:ascii="Segoe UI" w:hAnsi="Segoe UI" w:cs="Segoe UI"/>
          <w:sz w:val="24"/>
          <w:szCs w:val="24"/>
        </w:rPr>
        <w:t xml:space="preserve">’s accepted </w:t>
      </w:r>
      <w:r w:rsidR="007C67E0">
        <w:rPr>
          <w:rFonts w:ascii="Segoe UI" w:hAnsi="Segoe UI" w:cs="Segoe UI"/>
          <w:sz w:val="24"/>
          <w:szCs w:val="24"/>
        </w:rPr>
        <w:t>PPE</w:t>
      </w:r>
      <w:r w:rsidR="00D97020">
        <w:rPr>
          <w:rFonts w:ascii="Segoe UI" w:hAnsi="Segoe UI" w:cs="Segoe UI"/>
          <w:sz w:val="24"/>
          <w:szCs w:val="24"/>
        </w:rPr>
        <w:t>.</w:t>
      </w:r>
      <w:r w:rsidR="004A7405" w:rsidRPr="00EC0CEE">
        <w:rPr>
          <w:rFonts w:ascii="Segoe UI" w:hAnsi="Segoe UI" w:cs="Segoe UI"/>
          <w:sz w:val="24"/>
          <w:szCs w:val="24"/>
        </w:rPr>
        <w:t xml:space="preserve"> </w:t>
      </w:r>
    </w:p>
    <w:p w14:paraId="2AA7F711" w14:textId="300198F8" w:rsidR="0068370D" w:rsidRDefault="00E93B31" w:rsidP="00FA7AEC">
      <w:pPr>
        <w:pStyle w:val="ListParagraph"/>
        <w:numPr>
          <w:ilvl w:val="0"/>
          <w:numId w:val="6"/>
        </w:numPr>
        <w:jc w:val="both"/>
        <w:rPr>
          <w:rFonts w:ascii="Segoe UI" w:hAnsi="Segoe UI" w:cs="Segoe UI"/>
          <w:sz w:val="24"/>
          <w:szCs w:val="24"/>
          <w:lang w:val="en-US"/>
        </w:rPr>
      </w:pPr>
      <w:r>
        <w:rPr>
          <w:rFonts w:ascii="Segoe UI" w:hAnsi="Segoe UI" w:cs="Segoe UI"/>
          <w:sz w:val="24"/>
          <w:szCs w:val="24"/>
          <w:lang w:val="en-US"/>
        </w:rPr>
        <w:t>OPG should d</w:t>
      </w:r>
      <w:r w:rsidR="0068370D">
        <w:rPr>
          <w:rFonts w:ascii="Segoe UI" w:hAnsi="Segoe UI" w:cs="Segoe UI"/>
          <w:sz w:val="24"/>
          <w:szCs w:val="24"/>
          <w:lang w:val="en-US"/>
        </w:rPr>
        <w:t>emonstrat</w:t>
      </w:r>
      <w:r>
        <w:rPr>
          <w:rFonts w:ascii="Segoe UI" w:hAnsi="Segoe UI" w:cs="Segoe UI"/>
          <w:sz w:val="24"/>
          <w:szCs w:val="24"/>
          <w:lang w:val="en-US"/>
        </w:rPr>
        <w:t>e</w:t>
      </w:r>
      <w:r w:rsidR="0068370D">
        <w:rPr>
          <w:rFonts w:ascii="Segoe UI" w:hAnsi="Segoe UI" w:cs="Segoe UI"/>
          <w:sz w:val="24"/>
          <w:szCs w:val="24"/>
          <w:lang w:val="en-US"/>
        </w:rPr>
        <w:t xml:space="preserve"> that both reports comply with the International Joint Commission’s Great Lakes Water Quality Board </w:t>
      </w:r>
      <w:r w:rsidR="007C67E0">
        <w:rPr>
          <w:rFonts w:ascii="Segoe UI" w:hAnsi="Segoe UI" w:cs="Segoe UI"/>
          <w:sz w:val="24"/>
          <w:szCs w:val="24"/>
          <w:lang w:val="en-US"/>
        </w:rPr>
        <w:t>r</w:t>
      </w:r>
      <w:r w:rsidR="0068370D">
        <w:rPr>
          <w:rFonts w:ascii="Segoe UI" w:hAnsi="Segoe UI" w:cs="Segoe UI"/>
          <w:sz w:val="24"/>
          <w:szCs w:val="24"/>
          <w:lang w:val="en-US"/>
        </w:rPr>
        <w:t>ecommendations and the International Atomic Energy Agency</w:t>
      </w:r>
      <w:r w:rsidR="00787F25">
        <w:rPr>
          <w:rFonts w:ascii="Segoe UI" w:hAnsi="Segoe UI" w:cs="Segoe UI"/>
          <w:sz w:val="24"/>
          <w:szCs w:val="24"/>
          <w:lang w:val="en-US"/>
        </w:rPr>
        <w:t>’s</w:t>
      </w:r>
      <w:r w:rsidR="0068370D">
        <w:rPr>
          <w:rFonts w:ascii="Segoe UI" w:hAnsi="Segoe UI" w:cs="Segoe UI"/>
          <w:sz w:val="24"/>
          <w:szCs w:val="24"/>
          <w:lang w:val="en-US"/>
        </w:rPr>
        <w:t xml:space="preserve"> conclusion that immediate dismantling is the preferred decommissioning strategy for nuclear reactors.</w:t>
      </w:r>
    </w:p>
    <w:p w14:paraId="03704C91" w14:textId="4C6CF1F4" w:rsidR="0068370D" w:rsidRPr="00882A37" w:rsidRDefault="00E93B31" w:rsidP="00FA7AEC">
      <w:pPr>
        <w:pStyle w:val="ListParagraph"/>
        <w:numPr>
          <w:ilvl w:val="0"/>
          <w:numId w:val="6"/>
        </w:numPr>
        <w:jc w:val="both"/>
        <w:rPr>
          <w:rFonts w:ascii="Segoe UI" w:hAnsi="Segoe UI" w:cs="Segoe UI"/>
          <w:sz w:val="24"/>
          <w:szCs w:val="24"/>
          <w:lang w:val="en-US"/>
        </w:rPr>
      </w:pPr>
      <w:r>
        <w:rPr>
          <w:rFonts w:ascii="Segoe UI" w:hAnsi="Segoe UI" w:cs="Segoe UI"/>
          <w:sz w:val="24"/>
          <w:szCs w:val="24"/>
          <w:lang w:val="en-US"/>
        </w:rPr>
        <w:t>OPG should describe h</w:t>
      </w:r>
      <w:r w:rsidR="004A7405">
        <w:rPr>
          <w:rFonts w:ascii="Segoe UI" w:hAnsi="Segoe UI" w:cs="Segoe UI"/>
          <w:sz w:val="24"/>
          <w:szCs w:val="24"/>
          <w:lang w:val="en-US"/>
        </w:rPr>
        <w:t>ow lands will be restored after the site is decommissioned</w:t>
      </w:r>
      <w:r w:rsidR="002D16AA">
        <w:rPr>
          <w:rFonts w:ascii="Segoe UI" w:hAnsi="Segoe UI" w:cs="Segoe UI"/>
          <w:sz w:val="24"/>
          <w:szCs w:val="24"/>
          <w:lang w:val="en-US"/>
        </w:rPr>
        <w:t xml:space="preserve">, including whether the area will become Crown </w:t>
      </w:r>
      <w:r w:rsidR="00D97020">
        <w:rPr>
          <w:rFonts w:ascii="Segoe UI" w:hAnsi="Segoe UI" w:cs="Segoe UI"/>
          <w:sz w:val="24"/>
          <w:szCs w:val="24"/>
          <w:lang w:val="en-US"/>
        </w:rPr>
        <w:t>L</w:t>
      </w:r>
      <w:r w:rsidR="002D16AA">
        <w:rPr>
          <w:rFonts w:ascii="Segoe UI" w:hAnsi="Segoe UI" w:cs="Segoe UI"/>
          <w:sz w:val="24"/>
          <w:szCs w:val="24"/>
          <w:lang w:val="en-US"/>
        </w:rPr>
        <w:t xml:space="preserve">and </w:t>
      </w:r>
      <w:r w:rsidR="00615B67">
        <w:rPr>
          <w:rFonts w:ascii="Segoe UI" w:hAnsi="Segoe UI" w:cs="Segoe UI"/>
          <w:sz w:val="24"/>
          <w:szCs w:val="24"/>
          <w:lang w:val="en-US"/>
        </w:rPr>
        <w:t>after</w:t>
      </w:r>
      <w:r w:rsidR="004A7405">
        <w:rPr>
          <w:rFonts w:ascii="Segoe UI" w:hAnsi="Segoe UI" w:cs="Segoe UI"/>
          <w:sz w:val="24"/>
          <w:szCs w:val="24"/>
          <w:lang w:val="en-US"/>
        </w:rPr>
        <w:t xml:space="preserve"> decommissioning. </w:t>
      </w:r>
    </w:p>
    <w:p w14:paraId="64000C52" w14:textId="4B7118C4" w:rsidR="000F6A28" w:rsidRPr="00882A37" w:rsidRDefault="00882A37" w:rsidP="00882A37">
      <w:pPr>
        <w:jc w:val="both"/>
        <w:rPr>
          <w:rFonts w:ascii="Segoe UI" w:hAnsi="Segoe UI" w:cs="Segoe UI"/>
          <w:sz w:val="24"/>
          <w:szCs w:val="24"/>
        </w:rPr>
      </w:pPr>
      <w:r>
        <w:rPr>
          <w:rFonts w:ascii="Segoe UI" w:hAnsi="Segoe UI" w:cs="Segoe UI"/>
          <w:sz w:val="24"/>
          <w:szCs w:val="24"/>
        </w:rPr>
        <w:t xml:space="preserve">Overall, participants were keen </w:t>
      </w:r>
      <w:r w:rsidR="007C67E0">
        <w:rPr>
          <w:rFonts w:ascii="Segoe UI" w:hAnsi="Segoe UI" w:cs="Segoe UI"/>
          <w:sz w:val="24"/>
          <w:szCs w:val="24"/>
        </w:rPr>
        <w:t xml:space="preserve">to </w:t>
      </w:r>
      <w:r w:rsidR="0048372D">
        <w:rPr>
          <w:rFonts w:ascii="Segoe UI" w:hAnsi="Segoe UI" w:cs="Segoe UI"/>
          <w:sz w:val="24"/>
          <w:szCs w:val="24"/>
        </w:rPr>
        <w:t>gain</w:t>
      </w:r>
      <w:r>
        <w:rPr>
          <w:rFonts w:ascii="Segoe UI" w:hAnsi="Segoe UI" w:cs="Segoe UI"/>
          <w:sz w:val="24"/>
          <w:szCs w:val="24"/>
        </w:rPr>
        <w:t xml:space="preserve"> access to enhanced</w:t>
      </w:r>
      <w:r w:rsidRPr="00882A37">
        <w:rPr>
          <w:rFonts w:ascii="Segoe UI" w:hAnsi="Segoe UI" w:cs="Segoe UI"/>
          <w:sz w:val="24"/>
          <w:szCs w:val="24"/>
        </w:rPr>
        <w:t xml:space="preserve"> information on waste generation, </w:t>
      </w:r>
      <w:r>
        <w:rPr>
          <w:rFonts w:ascii="Segoe UI" w:hAnsi="Segoe UI" w:cs="Segoe UI"/>
          <w:sz w:val="24"/>
          <w:szCs w:val="24"/>
        </w:rPr>
        <w:t xml:space="preserve">characteristics, storage, </w:t>
      </w:r>
      <w:r w:rsidR="00615B67">
        <w:rPr>
          <w:rFonts w:ascii="Segoe UI" w:hAnsi="Segoe UI" w:cs="Segoe UI"/>
          <w:sz w:val="24"/>
          <w:szCs w:val="24"/>
        </w:rPr>
        <w:t>and</w:t>
      </w:r>
      <w:r w:rsidRPr="00882A37">
        <w:rPr>
          <w:rFonts w:ascii="Segoe UI" w:hAnsi="Segoe UI" w:cs="Segoe UI"/>
          <w:sz w:val="24"/>
          <w:szCs w:val="24"/>
        </w:rPr>
        <w:t xml:space="preserve"> financial guarantees, would provide the public with a better understanding of OPG’s Radioactive Waste Management Plan</w:t>
      </w:r>
      <w:r>
        <w:rPr>
          <w:rFonts w:ascii="Segoe UI" w:hAnsi="Segoe UI" w:cs="Segoe UI"/>
          <w:sz w:val="24"/>
          <w:szCs w:val="24"/>
        </w:rPr>
        <w:t xml:space="preserve"> and decommissioning strategy</w:t>
      </w:r>
      <w:r w:rsidRPr="00882A37">
        <w:rPr>
          <w:rFonts w:ascii="Segoe UI" w:hAnsi="Segoe UI" w:cs="Segoe UI"/>
          <w:sz w:val="24"/>
          <w:szCs w:val="24"/>
        </w:rPr>
        <w:t>.</w:t>
      </w:r>
    </w:p>
    <w:p w14:paraId="302904E6" w14:textId="77777777" w:rsidR="00EF7DE9" w:rsidRPr="00EF7DE9" w:rsidRDefault="00EF7DE9" w:rsidP="00EF7DE9">
      <w:pPr>
        <w:spacing w:before="120" w:after="240"/>
        <w:jc w:val="both"/>
        <w:rPr>
          <w:rFonts w:ascii="Segoe UI" w:hAnsi="Segoe UI" w:cs="Segoe UI"/>
          <w:b/>
          <w:bCs/>
          <w:sz w:val="32"/>
          <w:szCs w:val="32"/>
        </w:rPr>
      </w:pPr>
      <w:r w:rsidRPr="00EF7DE9">
        <w:rPr>
          <w:rFonts w:ascii="Segoe UI" w:hAnsi="Segoe UI" w:cs="Segoe UI"/>
          <w:b/>
          <w:bCs/>
          <w:sz w:val="32"/>
          <w:szCs w:val="32"/>
        </w:rPr>
        <w:t>Design &amp; Analysis and Hazard Assessment</w:t>
      </w:r>
    </w:p>
    <w:p w14:paraId="7BFDAB5B" w14:textId="4AA50CFB" w:rsidR="00C81D7D" w:rsidRPr="002E67CD" w:rsidRDefault="00C81D7D" w:rsidP="00C81D7D">
      <w:pPr>
        <w:ind w:left="360"/>
        <w:rPr>
          <w:rFonts w:ascii="Segoe UI" w:hAnsi="Segoe UI" w:cs="Segoe UI"/>
          <w:b/>
          <w:bCs/>
          <w:sz w:val="24"/>
          <w:szCs w:val="24"/>
          <w:lang w:val="en-US"/>
        </w:rPr>
      </w:pPr>
      <w:r w:rsidRPr="002E67CD">
        <w:rPr>
          <w:rFonts w:ascii="Segoe UI" w:hAnsi="Segoe UI" w:cs="Segoe UI"/>
          <w:b/>
          <w:bCs/>
          <w:sz w:val="24"/>
          <w:szCs w:val="24"/>
          <w:lang w:val="en-US"/>
        </w:rPr>
        <w:t>Design and Analysis</w:t>
      </w:r>
    </w:p>
    <w:p w14:paraId="1F8D40F1" w14:textId="53C34711" w:rsidR="00D613EC" w:rsidRDefault="00E93B31" w:rsidP="00FA7AEC">
      <w:pPr>
        <w:pStyle w:val="ListParagraph"/>
        <w:numPr>
          <w:ilvl w:val="0"/>
          <w:numId w:val="7"/>
        </w:numPr>
        <w:ind w:left="714" w:hanging="357"/>
        <w:jc w:val="both"/>
        <w:rPr>
          <w:rFonts w:ascii="Segoe UI" w:hAnsi="Segoe UI" w:cs="Segoe UI"/>
          <w:sz w:val="24"/>
          <w:szCs w:val="24"/>
          <w:lang w:val="en-US"/>
        </w:rPr>
      </w:pPr>
      <w:r>
        <w:rPr>
          <w:rFonts w:ascii="Segoe UI" w:hAnsi="Segoe UI" w:cs="Segoe UI"/>
          <w:sz w:val="24"/>
          <w:szCs w:val="24"/>
          <w:lang w:val="en-US"/>
        </w:rPr>
        <w:t>OPG should provide a</w:t>
      </w:r>
      <w:r w:rsidR="0043499C">
        <w:rPr>
          <w:rFonts w:ascii="Segoe UI" w:hAnsi="Segoe UI" w:cs="Segoe UI"/>
          <w:sz w:val="24"/>
          <w:szCs w:val="24"/>
          <w:lang w:val="en-US"/>
        </w:rPr>
        <w:t xml:space="preserve"> documented rationale that supports </w:t>
      </w:r>
      <w:r w:rsidR="007D3079">
        <w:rPr>
          <w:rFonts w:ascii="Segoe UI" w:hAnsi="Segoe UI" w:cs="Segoe UI"/>
          <w:sz w:val="24"/>
          <w:szCs w:val="24"/>
          <w:lang w:val="en-US"/>
        </w:rPr>
        <w:t>its</w:t>
      </w:r>
      <w:r w:rsidR="0043499C">
        <w:rPr>
          <w:rFonts w:ascii="Segoe UI" w:hAnsi="Segoe UI" w:cs="Segoe UI"/>
          <w:sz w:val="24"/>
          <w:szCs w:val="24"/>
          <w:lang w:val="en-US"/>
        </w:rPr>
        <w:t xml:space="preserve"> claim that the BWRX-300 is not fundamentally different from reactor designs previously considered </w:t>
      </w:r>
      <w:r w:rsidR="0019017A">
        <w:rPr>
          <w:rFonts w:ascii="Segoe UI" w:hAnsi="Segoe UI" w:cs="Segoe UI"/>
          <w:sz w:val="24"/>
          <w:szCs w:val="24"/>
          <w:lang w:val="en-US"/>
        </w:rPr>
        <w:t>to</w:t>
      </w:r>
      <w:r w:rsidR="0043499C">
        <w:rPr>
          <w:rFonts w:ascii="Segoe UI" w:hAnsi="Segoe UI" w:cs="Segoe UI"/>
          <w:sz w:val="24"/>
          <w:szCs w:val="24"/>
          <w:lang w:val="en-US"/>
        </w:rPr>
        <w:t xml:space="preserve"> strengthen both reports.</w:t>
      </w:r>
    </w:p>
    <w:p w14:paraId="504E7C54" w14:textId="119FB6EF" w:rsidR="0043499C" w:rsidRDefault="00166A5A" w:rsidP="00FA7AEC">
      <w:pPr>
        <w:pStyle w:val="ListParagraph"/>
        <w:numPr>
          <w:ilvl w:val="0"/>
          <w:numId w:val="7"/>
        </w:numPr>
        <w:ind w:left="714" w:hanging="357"/>
        <w:jc w:val="both"/>
        <w:rPr>
          <w:rFonts w:ascii="Segoe UI" w:hAnsi="Segoe UI" w:cs="Segoe UI"/>
          <w:sz w:val="24"/>
          <w:szCs w:val="24"/>
          <w:lang w:val="en-US"/>
        </w:rPr>
      </w:pPr>
      <w:r>
        <w:rPr>
          <w:rFonts w:ascii="Segoe UI" w:hAnsi="Segoe UI" w:cs="Segoe UI"/>
          <w:sz w:val="24"/>
          <w:szCs w:val="24"/>
          <w:lang w:val="en-US"/>
        </w:rPr>
        <w:t>The</w:t>
      </w:r>
      <w:r w:rsidR="0043499C" w:rsidRPr="0043499C">
        <w:rPr>
          <w:rFonts w:ascii="Segoe UI" w:hAnsi="Segoe UI" w:cs="Segoe UI"/>
          <w:sz w:val="24"/>
          <w:szCs w:val="24"/>
          <w:lang w:val="en-US"/>
        </w:rPr>
        <w:t xml:space="preserve"> EIS Review</w:t>
      </w:r>
      <w:r w:rsidR="0043499C">
        <w:rPr>
          <w:rFonts w:ascii="Segoe UI" w:hAnsi="Segoe UI" w:cs="Segoe UI"/>
          <w:sz w:val="24"/>
          <w:szCs w:val="24"/>
          <w:lang w:val="en-US"/>
        </w:rPr>
        <w:t xml:space="preserve"> Report</w:t>
      </w:r>
      <w:r w:rsidR="0043499C" w:rsidRPr="0043499C">
        <w:rPr>
          <w:rFonts w:ascii="Segoe UI" w:hAnsi="Segoe UI" w:cs="Segoe UI"/>
          <w:sz w:val="24"/>
          <w:szCs w:val="24"/>
          <w:lang w:val="en-US"/>
        </w:rPr>
        <w:t xml:space="preserve"> </w:t>
      </w:r>
      <w:r>
        <w:rPr>
          <w:rFonts w:ascii="Segoe UI" w:hAnsi="Segoe UI" w:cs="Segoe UI"/>
          <w:sz w:val="24"/>
          <w:szCs w:val="24"/>
          <w:lang w:val="en-US"/>
        </w:rPr>
        <w:t>should</w:t>
      </w:r>
      <w:r w:rsidR="0043499C" w:rsidRPr="0043499C">
        <w:rPr>
          <w:rFonts w:ascii="Segoe UI" w:hAnsi="Segoe UI" w:cs="Segoe UI"/>
          <w:sz w:val="24"/>
          <w:szCs w:val="24"/>
          <w:lang w:val="en-US"/>
        </w:rPr>
        <w:t xml:space="preserve"> </w:t>
      </w:r>
      <w:r w:rsidR="00025253">
        <w:rPr>
          <w:rFonts w:ascii="Segoe UI" w:hAnsi="Segoe UI" w:cs="Segoe UI"/>
          <w:sz w:val="24"/>
          <w:szCs w:val="24"/>
          <w:lang w:val="en-US"/>
        </w:rPr>
        <w:t>i</w:t>
      </w:r>
      <w:r w:rsidR="0043499C" w:rsidRPr="0043499C">
        <w:rPr>
          <w:rFonts w:ascii="Segoe UI" w:hAnsi="Segoe UI" w:cs="Segoe UI"/>
          <w:sz w:val="24"/>
          <w:szCs w:val="24"/>
          <w:lang w:val="en-US"/>
        </w:rPr>
        <w:t>dentif</w:t>
      </w:r>
      <w:r w:rsidR="0028349D">
        <w:rPr>
          <w:rFonts w:ascii="Segoe UI" w:hAnsi="Segoe UI" w:cs="Segoe UI"/>
          <w:sz w:val="24"/>
          <w:szCs w:val="24"/>
          <w:lang w:val="en-US"/>
        </w:rPr>
        <w:t>y</w:t>
      </w:r>
      <w:r w:rsidR="0043499C" w:rsidRPr="0043499C">
        <w:rPr>
          <w:rFonts w:ascii="Segoe UI" w:hAnsi="Segoe UI" w:cs="Segoe UI"/>
          <w:sz w:val="24"/>
          <w:szCs w:val="24"/>
          <w:lang w:val="en-US"/>
        </w:rPr>
        <w:t xml:space="preserve"> where the BWRX-</w:t>
      </w:r>
      <w:r w:rsidR="0043499C">
        <w:rPr>
          <w:rFonts w:ascii="Segoe UI" w:hAnsi="Segoe UI" w:cs="Segoe UI"/>
          <w:sz w:val="24"/>
          <w:szCs w:val="24"/>
          <w:lang w:val="en-US"/>
        </w:rPr>
        <w:t>3</w:t>
      </w:r>
      <w:r w:rsidR="0043499C" w:rsidRPr="0043499C">
        <w:rPr>
          <w:rFonts w:ascii="Segoe UI" w:hAnsi="Segoe UI" w:cs="Segoe UI"/>
          <w:sz w:val="24"/>
          <w:szCs w:val="24"/>
          <w:lang w:val="en-US"/>
        </w:rPr>
        <w:t>00 design has not progressed, or where it might yet change significantly enough to impact the</w:t>
      </w:r>
      <w:r w:rsidR="0043499C">
        <w:rPr>
          <w:rFonts w:ascii="Segoe UI" w:hAnsi="Segoe UI" w:cs="Segoe UI"/>
          <w:sz w:val="24"/>
          <w:szCs w:val="24"/>
          <w:lang w:val="en-US"/>
        </w:rPr>
        <w:t xml:space="preserve"> </w:t>
      </w:r>
      <w:r w:rsidR="0028349D">
        <w:rPr>
          <w:rFonts w:ascii="Segoe UI" w:hAnsi="Segoe UI" w:cs="Segoe UI"/>
          <w:sz w:val="24"/>
          <w:szCs w:val="24"/>
          <w:lang w:val="en-US"/>
        </w:rPr>
        <w:t xml:space="preserve">EIS Review </w:t>
      </w:r>
      <w:r w:rsidR="0043499C">
        <w:rPr>
          <w:rFonts w:ascii="Segoe UI" w:hAnsi="Segoe UI" w:cs="Segoe UI"/>
          <w:sz w:val="24"/>
          <w:szCs w:val="24"/>
          <w:lang w:val="en-US"/>
        </w:rPr>
        <w:t>Report’s</w:t>
      </w:r>
      <w:r w:rsidR="0043499C" w:rsidRPr="0043499C">
        <w:rPr>
          <w:rFonts w:ascii="Segoe UI" w:hAnsi="Segoe UI" w:cs="Segoe UI"/>
          <w:sz w:val="24"/>
          <w:szCs w:val="24"/>
          <w:lang w:val="en-US"/>
        </w:rPr>
        <w:t xml:space="preserve"> conclusions. </w:t>
      </w:r>
    </w:p>
    <w:p w14:paraId="2BB057E8" w14:textId="3DA836AD" w:rsidR="00EF7DE9" w:rsidRDefault="00E93B31" w:rsidP="00FA7AEC">
      <w:pPr>
        <w:pStyle w:val="ListParagraph"/>
        <w:numPr>
          <w:ilvl w:val="0"/>
          <w:numId w:val="7"/>
        </w:numPr>
        <w:ind w:left="714" w:hanging="357"/>
        <w:jc w:val="both"/>
        <w:rPr>
          <w:rFonts w:ascii="Segoe UI" w:hAnsi="Segoe UI" w:cs="Segoe UI"/>
          <w:sz w:val="24"/>
          <w:szCs w:val="24"/>
          <w:lang w:val="en-US"/>
        </w:rPr>
      </w:pPr>
      <w:r>
        <w:rPr>
          <w:rFonts w:ascii="Segoe UI" w:hAnsi="Segoe UI" w:cs="Segoe UI"/>
          <w:sz w:val="24"/>
          <w:szCs w:val="24"/>
          <w:lang w:val="en-US"/>
        </w:rPr>
        <w:t>OPG should provide m</w:t>
      </w:r>
      <w:r w:rsidR="0028349D">
        <w:rPr>
          <w:rFonts w:ascii="Segoe UI" w:hAnsi="Segoe UI" w:cs="Segoe UI"/>
          <w:sz w:val="24"/>
          <w:szCs w:val="24"/>
          <w:lang w:val="en-US"/>
        </w:rPr>
        <w:t xml:space="preserve">ore detailed </w:t>
      </w:r>
      <w:r w:rsidR="0043499C">
        <w:rPr>
          <w:rFonts w:ascii="Segoe UI" w:hAnsi="Segoe UI" w:cs="Segoe UI"/>
          <w:sz w:val="24"/>
          <w:szCs w:val="24"/>
          <w:lang w:val="en-US"/>
        </w:rPr>
        <w:t xml:space="preserve">documentation </w:t>
      </w:r>
      <w:r w:rsidR="0028349D">
        <w:rPr>
          <w:rFonts w:ascii="Segoe UI" w:hAnsi="Segoe UI" w:cs="Segoe UI"/>
          <w:sz w:val="24"/>
          <w:szCs w:val="24"/>
          <w:lang w:val="en-US"/>
        </w:rPr>
        <w:t xml:space="preserve">describing </w:t>
      </w:r>
      <w:r w:rsidR="0043499C" w:rsidRPr="0043499C">
        <w:rPr>
          <w:rFonts w:ascii="Segoe UI" w:hAnsi="Segoe UI" w:cs="Segoe UI"/>
          <w:sz w:val="24"/>
          <w:szCs w:val="24"/>
          <w:lang w:val="en-US"/>
        </w:rPr>
        <w:t xml:space="preserve">how </w:t>
      </w:r>
      <w:r>
        <w:rPr>
          <w:rFonts w:ascii="Segoe UI" w:hAnsi="Segoe UI" w:cs="Segoe UI"/>
          <w:sz w:val="24"/>
          <w:szCs w:val="24"/>
          <w:lang w:val="en-US"/>
        </w:rPr>
        <w:t xml:space="preserve">it </w:t>
      </w:r>
      <w:r w:rsidR="0043499C" w:rsidRPr="0043499C">
        <w:rPr>
          <w:rFonts w:ascii="Segoe UI" w:hAnsi="Segoe UI" w:cs="Segoe UI"/>
          <w:sz w:val="24"/>
          <w:szCs w:val="24"/>
          <w:lang w:val="en-US"/>
        </w:rPr>
        <w:t xml:space="preserve">intends to ensure the </w:t>
      </w:r>
      <w:r w:rsidR="007C67E0">
        <w:rPr>
          <w:rFonts w:ascii="Segoe UI" w:hAnsi="Segoe UI" w:cs="Segoe UI"/>
          <w:sz w:val="24"/>
          <w:szCs w:val="24"/>
          <w:lang w:val="en-US"/>
        </w:rPr>
        <w:t>BWRX-300</w:t>
      </w:r>
      <w:r w:rsidR="0043499C" w:rsidRPr="0043499C">
        <w:rPr>
          <w:rFonts w:ascii="Segoe UI" w:hAnsi="Segoe UI" w:cs="Segoe UI"/>
          <w:sz w:val="24"/>
          <w:szCs w:val="24"/>
          <w:lang w:val="en-US"/>
        </w:rPr>
        <w:t xml:space="preserve"> will meet the requirement for </w:t>
      </w:r>
      <w:r w:rsidR="0028349D">
        <w:rPr>
          <w:rFonts w:ascii="Segoe UI" w:hAnsi="Segoe UI" w:cs="Segoe UI"/>
          <w:sz w:val="24"/>
          <w:szCs w:val="24"/>
          <w:lang w:val="en-US"/>
        </w:rPr>
        <w:t>two</w:t>
      </w:r>
      <w:r w:rsidR="0043499C" w:rsidRPr="0043499C">
        <w:rPr>
          <w:rFonts w:ascii="Segoe UI" w:hAnsi="Segoe UI" w:cs="Segoe UI"/>
          <w:sz w:val="24"/>
          <w:szCs w:val="24"/>
          <w:lang w:val="en-US"/>
        </w:rPr>
        <w:t xml:space="preserve"> separate, </w:t>
      </w:r>
      <w:r w:rsidR="00993EE3" w:rsidRPr="0043499C">
        <w:rPr>
          <w:rFonts w:ascii="Segoe UI" w:hAnsi="Segoe UI" w:cs="Segoe UI"/>
          <w:sz w:val="24"/>
          <w:szCs w:val="24"/>
          <w:lang w:val="en-US"/>
        </w:rPr>
        <w:t>independent,</w:t>
      </w:r>
      <w:r w:rsidR="0043499C" w:rsidRPr="0043499C">
        <w:rPr>
          <w:rFonts w:ascii="Segoe UI" w:hAnsi="Segoe UI" w:cs="Segoe UI"/>
          <w:sz w:val="24"/>
          <w:szCs w:val="24"/>
          <w:lang w:val="en-US"/>
        </w:rPr>
        <w:t xml:space="preserve"> and diverse means of reactor shutdown</w:t>
      </w:r>
      <w:r w:rsidR="0043499C">
        <w:rPr>
          <w:rFonts w:ascii="Segoe UI" w:hAnsi="Segoe UI" w:cs="Segoe UI"/>
          <w:sz w:val="24"/>
          <w:szCs w:val="24"/>
          <w:lang w:val="en-US"/>
        </w:rPr>
        <w:t>.</w:t>
      </w:r>
    </w:p>
    <w:p w14:paraId="6DB5A84B" w14:textId="77777777" w:rsidR="009F4067" w:rsidRDefault="009F4067" w:rsidP="00CF2A42">
      <w:pPr>
        <w:pStyle w:val="ListParagraph"/>
        <w:ind w:left="360"/>
        <w:jc w:val="both"/>
        <w:rPr>
          <w:rFonts w:ascii="Segoe UI" w:hAnsi="Segoe UI" w:cs="Segoe UI"/>
          <w:b/>
          <w:bCs/>
          <w:sz w:val="24"/>
          <w:szCs w:val="24"/>
          <w:lang w:val="en-US"/>
        </w:rPr>
      </w:pPr>
    </w:p>
    <w:p w14:paraId="7C7EBFD5" w14:textId="33FE6BBE" w:rsidR="009F4067" w:rsidRDefault="009F4067" w:rsidP="00CF2A42">
      <w:pPr>
        <w:pStyle w:val="ListParagraph"/>
        <w:ind w:left="360"/>
        <w:jc w:val="both"/>
        <w:rPr>
          <w:rFonts w:ascii="Segoe UI" w:hAnsi="Segoe UI" w:cs="Segoe UI"/>
          <w:b/>
          <w:bCs/>
          <w:sz w:val="24"/>
          <w:szCs w:val="24"/>
          <w:lang w:val="en-US"/>
        </w:rPr>
      </w:pPr>
      <w:r>
        <w:rPr>
          <w:rFonts w:ascii="Segoe UI" w:hAnsi="Segoe UI" w:cs="Segoe UI"/>
          <w:b/>
          <w:bCs/>
          <w:sz w:val="24"/>
          <w:szCs w:val="24"/>
          <w:lang w:val="en-US"/>
        </w:rPr>
        <w:t>Hazard Assessment</w:t>
      </w:r>
    </w:p>
    <w:p w14:paraId="1BA14F8A" w14:textId="7845F0C2" w:rsidR="0067237E" w:rsidRPr="0067237E" w:rsidRDefault="00E93B31" w:rsidP="00FA7AEC">
      <w:pPr>
        <w:pStyle w:val="ListParagraph"/>
        <w:numPr>
          <w:ilvl w:val="0"/>
          <w:numId w:val="9"/>
        </w:numPr>
        <w:ind w:left="720"/>
        <w:jc w:val="both"/>
        <w:rPr>
          <w:rFonts w:ascii="Segoe UI" w:hAnsi="Segoe UI" w:cs="Segoe UI"/>
          <w:sz w:val="24"/>
          <w:szCs w:val="24"/>
          <w:lang w:val="en-US"/>
        </w:rPr>
      </w:pPr>
      <w:r>
        <w:rPr>
          <w:rFonts w:ascii="Segoe UI" w:hAnsi="Segoe UI" w:cs="Segoe UI"/>
          <w:sz w:val="24"/>
          <w:szCs w:val="24"/>
          <w:lang w:val="en-US"/>
        </w:rPr>
        <w:t>OPG should provide i</w:t>
      </w:r>
      <w:r w:rsidR="0067237E">
        <w:rPr>
          <w:rFonts w:ascii="Segoe UI" w:hAnsi="Segoe UI" w:cs="Segoe UI"/>
          <w:sz w:val="24"/>
          <w:szCs w:val="24"/>
          <w:lang w:val="en-US"/>
        </w:rPr>
        <w:t>mproved clarity regarding why the</w:t>
      </w:r>
      <w:r w:rsidR="0067237E" w:rsidRPr="00D613EC">
        <w:rPr>
          <w:rFonts w:ascii="Segoe UI" w:hAnsi="Segoe UI" w:cs="Segoe UI"/>
          <w:sz w:val="24"/>
          <w:szCs w:val="24"/>
          <w:lang w:val="en-US"/>
        </w:rPr>
        <w:t xml:space="preserve"> BWRX-300 is assumed to have a smaller exclusion zone</w:t>
      </w:r>
      <w:r w:rsidR="0067237E">
        <w:rPr>
          <w:rFonts w:ascii="Segoe UI" w:hAnsi="Segoe UI" w:cs="Segoe UI"/>
          <w:sz w:val="24"/>
          <w:szCs w:val="24"/>
          <w:lang w:val="en-US"/>
        </w:rPr>
        <w:t>.</w:t>
      </w:r>
    </w:p>
    <w:p w14:paraId="4278395B" w14:textId="076AA98B" w:rsidR="009F4067" w:rsidRDefault="00E93B31" w:rsidP="00FA7AEC">
      <w:pPr>
        <w:pStyle w:val="ListParagraph"/>
        <w:numPr>
          <w:ilvl w:val="0"/>
          <w:numId w:val="9"/>
        </w:numPr>
        <w:ind w:left="720"/>
        <w:jc w:val="both"/>
        <w:rPr>
          <w:rFonts w:ascii="Segoe UI" w:hAnsi="Segoe UI" w:cs="Segoe UI"/>
          <w:sz w:val="24"/>
          <w:szCs w:val="24"/>
          <w:lang w:val="en-US"/>
        </w:rPr>
      </w:pPr>
      <w:r>
        <w:rPr>
          <w:rFonts w:ascii="Segoe UI" w:hAnsi="Segoe UI" w:cs="Segoe UI"/>
          <w:sz w:val="24"/>
          <w:szCs w:val="24"/>
          <w:lang w:val="en-US"/>
        </w:rPr>
        <w:t>OPG should provide a</w:t>
      </w:r>
      <w:r w:rsidR="0023659C" w:rsidRPr="0023659C">
        <w:rPr>
          <w:rFonts w:ascii="Segoe UI" w:hAnsi="Segoe UI" w:cs="Segoe UI"/>
          <w:sz w:val="24"/>
          <w:szCs w:val="24"/>
          <w:lang w:val="en-US"/>
        </w:rPr>
        <w:t xml:space="preserve"> comparison of the risks associated with various designs </w:t>
      </w:r>
      <w:r w:rsidR="0019017A">
        <w:rPr>
          <w:rFonts w:ascii="Segoe UI" w:hAnsi="Segoe UI" w:cs="Segoe UI"/>
          <w:sz w:val="24"/>
          <w:szCs w:val="24"/>
          <w:lang w:val="en-US"/>
        </w:rPr>
        <w:t>to</w:t>
      </w:r>
      <w:r w:rsidR="0023659C" w:rsidRPr="0023659C">
        <w:rPr>
          <w:rFonts w:ascii="Segoe UI" w:hAnsi="Segoe UI" w:cs="Segoe UI"/>
          <w:sz w:val="24"/>
          <w:szCs w:val="24"/>
          <w:lang w:val="en-US"/>
        </w:rPr>
        <w:t xml:space="preserve"> place the hazard assessment in better context.</w:t>
      </w:r>
    </w:p>
    <w:p w14:paraId="44AA3557" w14:textId="5B7F0D73" w:rsidR="00EB6534" w:rsidRDefault="00E93B31" w:rsidP="00FA7AEC">
      <w:pPr>
        <w:pStyle w:val="ListParagraph"/>
        <w:numPr>
          <w:ilvl w:val="0"/>
          <w:numId w:val="9"/>
        </w:numPr>
        <w:ind w:left="720"/>
        <w:jc w:val="both"/>
        <w:rPr>
          <w:rFonts w:ascii="Segoe UI" w:hAnsi="Segoe UI" w:cs="Segoe UI"/>
          <w:sz w:val="24"/>
          <w:szCs w:val="24"/>
          <w:lang w:val="en-US"/>
        </w:rPr>
      </w:pPr>
      <w:r>
        <w:rPr>
          <w:rFonts w:ascii="Segoe UI" w:hAnsi="Segoe UI" w:cs="Segoe UI"/>
          <w:sz w:val="24"/>
          <w:szCs w:val="24"/>
          <w:lang w:val="en-US"/>
        </w:rPr>
        <w:t>OPG should include a</w:t>
      </w:r>
      <w:r w:rsidR="00EB6534">
        <w:rPr>
          <w:rFonts w:ascii="Segoe UI" w:hAnsi="Segoe UI" w:cs="Segoe UI"/>
          <w:sz w:val="24"/>
          <w:szCs w:val="24"/>
          <w:lang w:val="en-US"/>
        </w:rPr>
        <w:t xml:space="preserve">n assessment of the potential hazards that may come with the co-location of nuclear reactors at the same facility </w:t>
      </w:r>
      <w:r w:rsidR="0019017A">
        <w:rPr>
          <w:rFonts w:ascii="Segoe UI" w:hAnsi="Segoe UI" w:cs="Segoe UI"/>
          <w:sz w:val="24"/>
          <w:szCs w:val="24"/>
          <w:lang w:val="en-US"/>
        </w:rPr>
        <w:t>to</w:t>
      </w:r>
      <w:r w:rsidR="00EB6534">
        <w:rPr>
          <w:rFonts w:ascii="Segoe UI" w:hAnsi="Segoe UI" w:cs="Segoe UI"/>
          <w:sz w:val="24"/>
          <w:szCs w:val="24"/>
          <w:lang w:val="en-US"/>
        </w:rPr>
        <w:t xml:space="preserve"> enhance </w:t>
      </w:r>
      <w:r w:rsidR="00F64838">
        <w:rPr>
          <w:rFonts w:ascii="Segoe UI" w:hAnsi="Segoe UI" w:cs="Segoe UI"/>
          <w:sz w:val="24"/>
          <w:szCs w:val="24"/>
          <w:lang w:val="en-US"/>
        </w:rPr>
        <w:t xml:space="preserve">the </w:t>
      </w:r>
      <w:r w:rsidR="00C22191">
        <w:rPr>
          <w:rFonts w:ascii="Segoe UI" w:hAnsi="Segoe UI" w:cs="Segoe UI"/>
          <w:sz w:val="24"/>
          <w:szCs w:val="24"/>
          <w:lang w:val="en-US"/>
        </w:rPr>
        <w:t>h</w:t>
      </w:r>
      <w:r w:rsidR="00F64838">
        <w:rPr>
          <w:rFonts w:ascii="Segoe UI" w:hAnsi="Segoe UI" w:cs="Segoe UI"/>
          <w:sz w:val="24"/>
          <w:szCs w:val="24"/>
          <w:lang w:val="en-US"/>
        </w:rPr>
        <w:t xml:space="preserve">azard assessment </w:t>
      </w:r>
      <w:r w:rsidR="0019017A">
        <w:rPr>
          <w:rFonts w:ascii="Segoe UI" w:hAnsi="Segoe UI" w:cs="Segoe UI"/>
          <w:sz w:val="24"/>
          <w:szCs w:val="24"/>
          <w:lang w:val="en-US"/>
        </w:rPr>
        <w:t>provided</w:t>
      </w:r>
      <w:r w:rsidR="00F64838">
        <w:rPr>
          <w:rFonts w:ascii="Segoe UI" w:hAnsi="Segoe UI" w:cs="Segoe UI"/>
          <w:sz w:val="24"/>
          <w:szCs w:val="24"/>
          <w:lang w:val="en-US"/>
        </w:rPr>
        <w:t>.</w:t>
      </w:r>
    </w:p>
    <w:p w14:paraId="1177B881" w14:textId="0F5A389E" w:rsidR="00F64838" w:rsidRDefault="00E93B31" w:rsidP="00FA7AEC">
      <w:pPr>
        <w:pStyle w:val="ListParagraph"/>
        <w:numPr>
          <w:ilvl w:val="0"/>
          <w:numId w:val="9"/>
        </w:numPr>
        <w:ind w:left="720"/>
        <w:jc w:val="both"/>
        <w:rPr>
          <w:rFonts w:ascii="Segoe UI" w:hAnsi="Segoe UI" w:cs="Segoe UI"/>
          <w:sz w:val="24"/>
          <w:szCs w:val="24"/>
          <w:lang w:val="en-US"/>
        </w:rPr>
      </w:pPr>
      <w:r>
        <w:rPr>
          <w:rFonts w:ascii="Segoe UI" w:hAnsi="Segoe UI" w:cs="Segoe UI"/>
          <w:sz w:val="24"/>
          <w:szCs w:val="24"/>
          <w:lang w:val="en-US"/>
        </w:rPr>
        <w:t xml:space="preserve">OPG should </w:t>
      </w:r>
      <w:r w:rsidR="00C0306A">
        <w:rPr>
          <w:rFonts w:ascii="Segoe UI" w:hAnsi="Segoe UI" w:cs="Segoe UI"/>
          <w:sz w:val="24"/>
          <w:szCs w:val="24"/>
          <w:lang w:val="en-US"/>
        </w:rPr>
        <w:t>resubmi</w:t>
      </w:r>
      <w:r>
        <w:rPr>
          <w:rFonts w:ascii="Segoe UI" w:hAnsi="Segoe UI" w:cs="Segoe UI"/>
          <w:sz w:val="24"/>
          <w:szCs w:val="24"/>
          <w:lang w:val="en-US"/>
        </w:rPr>
        <w:t>t</w:t>
      </w:r>
      <w:r w:rsidR="00C0306A">
        <w:rPr>
          <w:rFonts w:ascii="Segoe UI" w:hAnsi="Segoe UI" w:cs="Segoe UI"/>
          <w:sz w:val="24"/>
          <w:szCs w:val="24"/>
          <w:lang w:val="en-US"/>
        </w:rPr>
        <w:t xml:space="preserve"> </w:t>
      </w:r>
      <w:r w:rsidR="008A1BBA">
        <w:rPr>
          <w:rFonts w:ascii="Segoe UI" w:hAnsi="Segoe UI" w:cs="Segoe UI"/>
          <w:sz w:val="24"/>
          <w:szCs w:val="24"/>
          <w:lang w:val="en-US"/>
        </w:rPr>
        <w:t xml:space="preserve">its </w:t>
      </w:r>
      <w:r w:rsidR="00C0306A">
        <w:rPr>
          <w:rFonts w:ascii="Segoe UI" w:hAnsi="Segoe UI" w:cs="Segoe UI"/>
          <w:sz w:val="24"/>
          <w:szCs w:val="24"/>
          <w:lang w:val="en-US"/>
        </w:rPr>
        <w:t xml:space="preserve">hazard assessment </w:t>
      </w:r>
      <w:r w:rsidR="0019017A">
        <w:rPr>
          <w:rFonts w:ascii="Segoe UI" w:hAnsi="Segoe UI" w:cs="Segoe UI"/>
          <w:sz w:val="24"/>
          <w:szCs w:val="24"/>
          <w:lang w:val="en-US"/>
        </w:rPr>
        <w:t>to include</w:t>
      </w:r>
      <w:r w:rsidR="00C0306A">
        <w:rPr>
          <w:rFonts w:ascii="Segoe UI" w:hAnsi="Segoe UI" w:cs="Segoe UI"/>
          <w:sz w:val="24"/>
          <w:szCs w:val="24"/>
          <w:lang w:val="en-US"/>
        </w:rPr>
        <w:t xml:space="preserve"> the scenario of a large military aircraft accident</w:t>
      </w:r>
      <w:r w:rsidR="007C67E0">
        <w:rPr>
          <w:rFonts w:ascii="Segoe UI" w:hAnsi="Segoe UI" w:cs="Segoe UI"/>
          <w:sz w:val="24"/>
          <w:szCs w:val="24"/>
          <w:lang w:val="en-US"/>
        </w:rPr>
        <w:t xml:space="preserve"> which </w:t>
      </w:r>
      <w:r w:rsidR="003D14FB">
        <w:rPr>
          <w:rFonts w:ascii="Segoe UI" w:hAnsi="Segoe UI" w:cs="Segoe UI"/>
          <w:sz w:val="24"/>
          <w:szCs w:val="24"/>
          <w:lang w:val="en-US"/>
        </w:rPr>
        <w:t>includes an assessment of</w:t>
      </w:r>
      <w:r w:rsidR="00C0306A">
        <w:rPr>
          <w:rFonts w:ascii="Segoe UI" w:hAnsi="Segoe UI" w:cs="Segoe UI"/>
          <w:sz w:val="24"/>
          <w:szCs w:val="24"/>
          <w:lang w:val="en-US"/>
        </w:rPr>
        <w:t xml:space="preserve"> malevolent drone use</w:t>
      </w:r>
      <w:r w:rsidR="003D14FB">
        <w:rPr>
          <w:rFonts w:ascii="Segoe UI" w:hAnsi="Segoe UI" w:cs="Segoe UI"/>
          <w:sz w:val="24"/>
          <w:szCs w:val="24"/>
          <w:lang w:val="en-US"/>
        </w:rPr>
        <w:t xml:space="preserve">, </w:t>
      </w:r>
      <w:r w:rsidR="0019017A">
        <w:rPr>
          <w:rFonts w:ascii="Segoe UI" w:hAnsi="Segoe UI" w:cs="Segoe UI"/>
          <w:sz w:val="24"/>
          <w:szCs w:val="24"/>
          <w:lang w:val="en-US"/>
        </w:rPr>
        <w:t xml:space="preserve">and </w:t>
      </w:r>
      <w:r w:rsidR="00C0306A">
        <w:rPr>
          <w:rFonts w:ascii="Segoe UI" w:hAnsi="Segoe UI" w:cs="Segoe UI"/>
          <w:sz w:val="24"/>
          <w:szCs w:val="24"/>
          <w:lang w:val="en-US"/>
        </w:rPr>
        <w:t>large commercial aircraft collisions.</w:t>
      </w:r>
    </w:p>
    <w:p w14:paraId="360B3C86" w14:textId="49A15582" w:rsidR="009F4067" w:rsidRPr="009F4067" w:rsidRDefault="009E0BC2" w:rsidP="00CF2A42">
      <w:pPr>
        <w:jc w:val="both"/>
        <w:rPr>
          <w:rFonts w:ascii="Segoe UI" w:hAnsi="Segoe UI" w:cs="Segoe UI"/>
          <w:sz w:val="24"/>
          <w:szCs w:val="24"/>
          <w:lang w:val="en-US"/>
        </w:rPr>
      </w:pPr>
      <w:r>
        <w:rPr>
          <w:rFonts w:ascii="Segoe UI" w:hAnsi="Segoe UI" w:cs="Segoe UI"/>
          <w:sz w:val="24"/>
          <w:szCs w:val="24"/>
          <w:lang w:val="en-US"/>
        </w:rPr>
        <w:t xml:space="preserve">Overall, participants </w:t>
      </w:r>
      <w:r w:rsidR="00B70A01">
        <w:rPr>
          <w:rFonts w:ascii="Segoe UI" w:hAnsi="Segoe UI" w:cs="Segoe UI"/>
          <w:sz w:val="24"/>
          <w:szCs w:val="24"/>
          <w:lang w:val="en-US"/>
        </w:rPr>
        <w:t xml:space="preserve">were interested in </w:t>
      </w:r>
      <w:r w:rsidR="00C22191">
        <w:rPr>
          <w:rFonts w:ascii="Segoe UI" w:hAnsi="Segoe UI" w:cs="Segoe UI"/>
          <w:sz w:val="24"/>
          <w:szCs w:val="24"/>
          <w:lang w:val="en-US"/>
        </w:rPr>
        <w:t>understanding</w:t>
      </w:r>
      <w:r w:rsidR="00B70A01">
        <w:rPr>
          <w:rFonts w:ascii="Segoe UI" w:hAnsi="Segoe UI" w:cs="Segoe UI"/>
          <w:sz w:val="24"/>
          <w:szCs w:val="24"/>
          <w:lang w:val="en-US"/>
        </w:rPr>
        <w:t xml:space="preserve"> </w:t>
      </w:r>
      <w:r>
        <w:rPr>
          <w:rFonts w:ascii="Segoe UI" w:hAnsi="Segoe UI" w:cs="Segoe UI"/>
          <w:sz w:val="24"/>
          <w:szCs w:val="24"/>
          <w:lang w:val="en-US"/>
        </w:rPr>
        <w:t>whether the BWRX-300 design has evolved enough</w:t>
      </w:r>
      <w:r w:rsidR="00B70A01">
        <w:rPr>
          <w:rFonts w:ascii="Segoe UI" w:hAnsi="Segoe UI" w:cs="Segoe UI"/>
          <w:sz w:val="24"/>
          <w:szCs w:val="24"/>
          <w:lang w:val="en-US"/>
        </w:rPr>
        <w:t xml:space="preserve"> for the CNSC</w:t>
      </w:r>
      <w:r>
        <w:rPr>
          <w:rFonts w:ascii="Segoe UI" w:hAnsi="Segoe UI" w:cs="Segoe UI"/>
          <w:sz w:val="24"/>
          <w:szCs w:val="24"/>
          <w:lang w:val="en-US"/>
        </w:rPr>
        <w:t xml:space="preserve"> to sufficiently draw conclusions at this time</w:t>
      </w:r>
      <w:r w:rsidR="00CF2A42">
        <w:rPr>
          <w:rFonts w:ascii="Segoe UI" w:hAnsi="Segoe UI" w:cs="Segoe UI"/>
          <w:sz w:val="24"/>
          <w:szCs w:val="24"/>
          <w:lang w:val="en-US"/>
        </w:rPr>
        <w:t xml:space="preserve">. It was suggested that the aspects of the </w:t>
      </w:r>
      <w:r>
        <w:rPr>
          <w:rFonts w:ascii="Segoe UI" w:hAnsi="Segoe UI" w:cs="Segoe UI"/>
          <w:sz w:val="24"/>
          <w:szCs w:val="24"/>
          <w:lang w:val="en-US"/>
        </w:rPr>
        <w:t>BWRX-300 design</w:t>
      </w:r>
      <w:r w:rsidR="00CF2A42">
        <w:rPr>
          <w:rFonts w:ascii="Segoe UI" w:hAnsi="Segoe UI" w:cs="Segoe UI"/>
          <w:sz w:val="24"/>
          <w:szCs w:val="24"/>
          <w:lang w:val="en-US"/>
        </w:rPr>
        <w:t xml:space="preserve"> that</w:t>
      </w:r>
      <w:r>
        <w:rPr>
          <w:rFonts w:ascii="Segoe UI" w:hAnsi="Segoe UI" w:cs="Segoe UI"/>
          <w:sz w:val="24"/>
          <w:szCs w:val="24"/>
          <w:lang w:val="en-US"/>
        </w:rPr>
        <w:t xml:space="preserve"> </w:t>
      </w:r>
      <w:r w:rsidR="00CF2A42">
        <w:rPr>
          <w:rFonts w:ascii="Segoe UI" w:hAnsi="Segoe UI" w:cs="Segoe UI"/>
          <w:sz w:val="24"/>
          <w:szCs w:val="24"/>
          <w:lang w:val="en-US"/>
        </w:rPr>
        <w:t xml:space="preserve">are still in development be clearly </w:t>
      </w:r>
      <w:r w:rsidR="00E23CFD">
        <w:rPr>
          <w:rFonts w:ascii="Segoe UI" w:hAnsi="Segoe UI" w:cs="Segoe UI"/>
          <w:sz w:val="24"/>
          <w:szCs w:val="24"/>
          <w:lang w:val="en-US"/>
        </w:rPr>
        <w:t xml:space="preserve">documented and made </w:t>
      </w:r>
      <w:r w:rsidR="007C67E0">
        <w:rPr>
          <w:rFonts w:ascii="Segoe UI" w:hAnsi="Segoe UI" w:cs="Segoe UI"/>
          <w:sz w:val="24"/>
          <w:szCs w:val="24"/>
          <w:lang w:val="en-US"/>
        </w:rPr>
        <w:t xml:space="preserve">publicly </w:t>
      </w:r>
      <w:r w:rsidR="00E23CFD">
        <w:rPr>
          <w:rFonts w:ascii="Segoe UI" w:hAnsi="Segoe UI" w:cs="Segoe UI"/>
          <w:sz w:val="24"/>
          <w:szCs w:val="24"/>
          <w:lang w:val="en-US"/>
        </w:rPr>
        <w:t>available.</w:t>
      </w:r>
      <w:r w:rsidR="00CF2A42">
        <w:rPr>
          <w:rFonts w:ascii="Segoe UI" w:hAnsi="Segoe UI" w:cs="Segoe UI"/>
          <w:sz w:val="24"/>
          <w:szCs w:val="24"/>
          <w:lang w:val="en-US"/>
        </w:rPr>
        <w:t xml:space="preserve"> </w:t>
      </w:r>
    </w:p>
    <w:p w14:paraId="30ADC0F9" w14:textId="04BC3006" w:rsidR="00EF7DE9" w:rsidRDefault="00EF7DE9" w:rsidP="00EF7DE9">
      <w:pPr>
        <w:spacing w:before="120" w:after="240"/>
        <w:jc w:val="both"/>
        <w:rPr>
          <w:rFonts w:ascii="Segoe UI" w:hAnsi="Segoe UI" w:cs="Segoe UI"/>
          <w:b/>
          <w:bCs/>
          <w:sz w:val="32"/>
          <w:szCs w:val="32"/>
        </w:rPr>
      </w:pPr>
      <w:r w:rsidRPr="00EF7DE9">
        <w:rPr>
          <w:rFonts w:ascii="Segoe UI" w:hAnsi="Segoe UI" w:cs="Segoe UI"/>
          <w:b/>
          <w:bCs/>
          <w:sz w:val="32"/>
          <w:szCs w:val="32"/>
        </w:rPr>
        <w:t>Releases, Doses and Emergency Management</w:t>
      </w:r>
    </w:p>
    <w:p w14:paraId="428B0E73" w14:textId="14CB2F51" w:rsidR="002E67CD" w:rsidRPr="002E67CD" w:rsidRDefault="002E67CD" w:rsidP="002E67CD">
      <w:pPr>
        <w:pStyle w:val="ListParagraph"/>
        <w:ind w:left="360"/>
        <w:jc w:val="both"/>
        <w:rPr>
          <w:rFonts w:ascii="Segoe UI" w:hAnsi="Segoe UI" w:cs="Segoe UI"/>
          <w:b/>
          <w:bCs/>
          <w:sz w:val="24"/>
          <w:szCs w:val="24"/>
          <w:lang w:val="en-US"/>
        </w:rPr>
      </w:pPr>
      <w:r>
        <w:rPr>
          <w:rFonts w:ascii="Segoe UI" w:hAnsi="Segoe UI" w:cs="Segoe UI"/>
          <w:b/>
          <w:bCs/>
          <w:sz w:val="24"/>
          <w:szCs w:val="24"/>
          <w:lang w:val="en-US"/>
        </w:rPr>
        <w:t>Releases &amp; Doses</w:t>
      </w:r>
    </w:p>
    <w:p w14:paraId="1D6D50ED" w14:textId="7CE9519D" w:rsidR="00137F11" w:rsidRDefault="007D3079" w:rsidP="00856D3F">
      <w:pPr>
        <w:pStyle w:val="ListParagraph"/>
        <w:numPr>
          <w:ilvl w:val="0"/>
          <w:numId w:val="8"/>
        </w:numPr>
        <w:ind w:left="714" w:hanging="357"/>
        <w:jc w:val="both"/>
        <w:rPr>
          <w:rFonts w:ascii="Segoe UI" w:hAnsi="Segoe UI" w:cs="Segoe UI"/>
          <w:sz w:val="24"/>
          <w:szCs w:val="24"/>
          <w:lang w:val="en-US"/>
        </w:rPr>
      </w:pPr>
      <w:r>
        <w:rPr>
          <w:rFonts w:ascii="Segoe UI" w:hAnsi="Segoe UI" w:cs="Segoe UI"/>
          <w:sz w:val="24"/>
          <w:szCs w:val="24"/>
          <w:lang w:val="en-US"/>
        </w:rPr>
        <w:t>OPG</w:t>
      </w:r>
      <w:r w:rsidR="008A1BBA">
        <w:rPr>
          <w:rFonts w:ascii="Segoe UI" w:hAnsi="Segoe UI" w:cs="Segoe UI"/>
          <w:sz w:val="24"/>
          <w:szCs w:val="24"/>
          <w:lang w:val="en-US"/>
        </w:rPr>
        <w:t xml:space="preserve"> </w:t>
      </w:r>
      <w:r w:rsidR="0040572D">
        <w:rPr>
          <w:rFonts w:ascii="Segoe UI" w:hAnsi="Segoe UI" w:cs="Segoe UI"/>
          <w:sz w:val="24"/>
          <w:szCs w:val="24"/>
          <w:lang w:val="en-US"/>
        </w:rPr>
        <w:t xml:space="preserve">should </w:t>
      </w:r>
      <w:r w:rsidR="00137F11" w:rsidRPr="00F0732E">
        <w:rPr>
          <w:rFonts w:ascii="Segoe UI" w:hAnsi="Segoe UI" w:cs="Segoe UI"/>
          <w:sz w:val="24"/>
          <w:szCs w:val="24"/>
          <w:lang w:val="en-US"/>
        </w:rPr>
        <w:t xml:space="preserve">provide </w:t>
      </w:r>
      <w:r w:rsidR="0028349D">
        <w:rPr>
          <w:rFonts w:ascii="Segoe UI" w:hAnsi="Segoe UI" w:cs="Segoe UI"/>
          <w:sz w:val="24"/>
          <w:szCs w:val="24"/>
          <w:lang w:val="en-US"/>
        </w:rPr>
        <w:t xml:space="preserve">publicly available documents on releases of </w:t>
      </w:r>
      <w:r w:rsidR="00137F11" w:rsidRPr="001C086E">
        <w:rPr>
          <w:rFonts w:ascii="Segoe UI" w:hAnsi="Segoe UI" w:cs="Segoe UI"/>
          <w:sz w:val="24"/>
          <w:szCs w:val="24"/>
          <w:lang w:val="en-US"/>
        </w:rPr>
        <w:t>radioactive iodine</w:t>
      </w:r>
      <w:r w:rsidR="00137F11" w:rsidRPr="00F0732E">
        <w:rPr>
          <w:rFonts w:ascii="Segoe UI" w:hAnsi="Segoe UI" w:cs="Segoe UI"/>
          <w:i/>
          <w:iCs/>
          <w:sz w:val="24"/>
          <w:szCs w:val="24"/>
          <w:lang w:val="en-US"/>
        </w:rPr>
        <w:t xml:space="preserve"> </w:t>
      </w:r>
      <w:r w:rsidR="00137F11" w:rsidRPr="00F0732E">
        <w:rPr>
          <w:rFonts w:ascii="Segoe UI" w:hAnsi="Segoe UI" w:cs="Segoe UI"/>
          <w:sz w:val="24"/>
          <w:szCs w:val="24"/>
          <w:lang w:val="en-US"/>
        </w:rPr>
        <w:t xml:space="preserve">and </w:t>
      </w:r>
      <w:r w:rsidR="0028349D">
        <w:rPr>
          <w:rFonts w:ascii="Segoe UI" w:hAnsi="Segoe UI" w:cs="Segoe UI"/>
          <w:sz w:val="24"/>
          <w:szCs w:val="24"/>
          <w:lang w:val="en-US"/>
        </w:rPr>
        <w:t xml:space="preserve">a description of how these releases remain within the bounds of the previously approved environmental assessment. </w:t>
      </w:r>
    </w:p>
    <w:p w14:paraId="337AFE12" w14:textId="1BBB64EF" w:rsidR="008B101F" w:rsidRDefault="007D3079" w:rsidP="00856D3F">
      <w:pPr>
        <w:pStyle w:val="ListParagraph"/>
        <w:numPr>
          <w:ilvl w:val="0"/>
          <w:numId w:val="8"/>
        </w:numPr>
        <w:ind w:left="714" w:hanging="357"/>
        <w:jc w:val="both"/>
        <w:rPr>
          <w:rFonts w:ascii="Segoe UI" w:hAnsi="Segoe UI" w:cs="Segoe UI"/>
          <w:sz w:val="24"/>
          <w:szCs w:val="24"/>
          <w:lang w:val="en-US"/>
        </w:rPr>
      </w:pPr>
      <w:r>
        <w:rPr>
          <w:rFonts w:ascii="Segoe UI" w:hAnsi="Segoe UI" w:cs="Segoe UI"/>
          <w:sz w:val="24"/>
          <w:szCs w:val="24"/>
          <w:lang w:val="en-US"/>
        </w:rPr>
        <w:t>OPG</w:t>
      </w:r>
      <w:r w:rsidR="008A1BBA">
        <w:rPr>
          <w:rFonts w:ascii="Segoe UI" w:hAnsi="Segoe UI" w:cs="Segoe UI"/>
          <w:sz w:val="24"/>
          <w:szCs w:val="24"/>
          <w:lang w:val="en-US"/>
        </w:rPr>
        <w:t xml:space="preserve"> </w:t>
      </w:r>
      <w:r w:rsidR="0040572D">
        <w:rPr>
          <w:rFonts w:ascii="Segoe UI" w:hAnsi="Segoe UI" w:cs="Segoe UI"/>
          <w:sz w:val="24"/>
          <w:szCs w:val="24"/>
          <w:lang w:val="en-US"/>
        </w:rPr>
        <w:t xml:space="preserve">should </w:t>
      </w:r>
      <w:r w:rsidR="008A1BBA">
        <w:rPr>
          <w:rFonts w:ascii="Segoe UI" w:hAnsi="Segoe UI" w:cs="Segoe UI"/>
          <w:sz w:val="24"/>
          <w:szCs w:val="24"/>
          <w:lang w:val="en-US"/>
        </w:rPr>
        <w:t>c</w:t>
      </w:r>
      <w:r w:rsidR="008B101F">
        <w:rPr>
          <w:rFonts w:ascii="Segoe UI" w:hAnsi="Segoe UI" w:cs="Segoe UI"/>
          <w:sz w:val="24"/>
          <w:szCs w:val="24"/>
          <w:lang w:val="en-US"/>
        </w:rPr>
        <w:t>lari</w:t>
      </w:r>
      <w:r w:rsidR="008A1BBA">
        <w:rPr>
          <w:rFonts w:ascii="Segoe UI" w:hAnsi="Segoe UI" w:cs="Segoe UI"/>
          <w:sz w:val="24"/>
          <w:szCs w:val="24"/>
          <w:lang w:val="en-US"/>
        </w:rPr>
        <w:t>f</w:t>
      </w:r>
      <w:r w:rsidR="008B101F">
        <w:rPr>
          <w:rFonts w:ascii="Segoe UI" w:hAnsi="Segoe UI" w:cs="Segoe UI"/>
          <w:sz w:val="24"/>
          <w:szCs w:val="24"/>
          <w:lang w:val="en-US"/>
        </w:rPr>
        <w:t>y how the proportions of r</w:t>
      </w:r>
      <w:r w:rsidR="008B101F" w:rsidRPr="008B101F">
        <w:rPr>
          <w:rFonts w:ascii="Segoe UI" w:hAnsi="Segoe UI" w:cs="Segoe UI"/>
          <w:sz w:val="24"/>
          <w:szCs w:val="24"/>
          <w:lang w:val="en-US"/>
        </w:rPr>
        <w:t xml:space="preserve">adionuclides in gaseous effluents, liquid effluents, and solid waste </w:t>
      </w:r>
      <w:r w:rsidR="008B101F">
        <w:rPr>
          <w:rFonts w:ascii="Segoe UI" w:hAnsi="Segoe UI" w:cs="Segoe UI"/>
          <w:sz w:val="24"/>
          <w:szCs w:val="24"/>
          <w:lang w:val="en-US"/>
        </w:rPr>
        <w:t xml:space="preserve">have changed from the </w:t>
      </w:r>
      <w:r>
        <w:rPr>
          <w:rFonts w:ascii="Segoe UI" w:hAnsi="Segoe UI" w:cs="Segoe UI"/>
          <w:sz w:val="24"/>
          <w:szCs w:val="24"/>
          <w:lang w:val="en-US"/>
        </w:rPr>
        <w:t xml:space="preserve">original </w:t>
      </w:r>
      <w:r w:rsidR="008B101F">
        <w:rPr>
          <w:rFonts w:ascii="Segoe UI" w:hAnsi="Segoe UI" w:cs="Segoe UI"/>
          <w:sz w:val="24"/>
          <w:szCs w:val="24"/>
          <w:lang w:val="en-US"/>
        </w:rPr>
        <w:t>EIS.</w:t>
      </w:r>
    </w:p>
    <w:p w14:paraId="0CA96CC3" w14:textId="574F8011" w:rsidR="002E67CD" w:rsidRDefault="008A1BBA" w:rsidP="00856D3F">
      <w:pPr>
        <w:pStyle w:val="ListParagraph"/>
        <w:numPr>
          <w:ilvl w:val="0"/>
          <w:numId w:val="8"/>
        </w:numPr>
        <w:ind w:left="714" w:hanging="357"/>
        <w:jc w:val="both"/>
        <w:rPr>
          <w:rFonts w:ascii="Segoe UI" w:hAnsi="Segoe UI" w:cs="Segoe UI"/>
          <w:sz w:val="24"/>
          <w:szCs w:val="24"/>
          <w:lang w:val="en-US"/>
        </w:rPr>
      </w:pPr>
      <w:r>
        <w:rPr>
          <w:rFonts w:ascii="Segoe UI" w:hAnsi="Segoe UI" w:cs="Segoe UI"/>
          <w:sz w:val="24"/>
          <w:szCs w:val="24"/>
          <w:lang w:val="en-US"/>
        </w:rPr>
        <w:t>CNSC should improve it</w:t>
      </w:r>
      <w:r w:rsidR="0048372D">
        <w:rPr>
          <w:rFonts w:ascii="Segoe UI" w:hAnsi="Segoe UI" w:cs="Segoe UI"/>
          <w:sz w:val="24"/>
          <w:szCs w:val="24"/>
          <w:lang w:val="en-US"/>
        </w:rPr>
        <w:t>s</w:t>
      </w:r>
      <w:r>
        <w:rPr>
          <w:rFonts w:ascii="Segoe UI" w:hAnsi="Segoe UI" w:cs="Segoe UI"/>
          <w:sz w:val="24"/>
          <w:szCs w:val="24"/>
          <w:lang w:val="en-US"/>
        </w:rPr>
        <w:t xml:space="preserve"> c</w:t>
      </w:r>
      <w:r w:rsidR="008B101F">
        <w:rPr>
          <w:rFonts w:ascii="Segoe UI" w:hAnsi="Segoe UI" w:cs="Segoe UI"/>
          <w:sz w:val="24"/>
          <w:szCs w:val="24"/>
          <w:lang w:val="en-US"/>
        </w:rPr>
        <w:t>ommunicat</w:t>
      </w:r>
      <w:r w:rsidR="0048372D">
        <w:rPr>
          <w:rFonts w:ascii="Segoe UI" w:hAnsi="Segoe UI" w:cs="Segoe UI"/>
          <w:sz w:val="24"/>
          <w:szCs w:val="24"/>
          <w:lang w:val="en-US"/>
        </w:rPr>
        <w:t>ion</w:t>
      </w:r>
      <w:r w:rsidR="008B101F">
        <w:rPr>
          <w:rFonts w:ascii="Segoe UI" w:hAnsi="Segoe UI" w:cs="Segoe UI"/>
          <w:sz w:val="24"/>
          <w:szCs w:val="24"/>
          <w:lang w:val="en-US"/>
        </w:rPr>
        <w:t xml:space="preserve"> </w:t>
      </w:r>
      <w:r w:rsidR="0048372D">
        <w:rPr>
          <w:rFonts w:ascii="Segoe UI" w:hAnsi="Segoe UI" w:cs="Segoe UI"/>
          <w:sz w:val="24"/>
          <w:szCs w:val="24"/>
          <w:lang w:val="en-US"/>
        </w:rPr>
        <w:t xml:space="preserve">regarding </w:t>
      </w:r>
      <w:r w:rsidR="009916CF">
        <w:rPr>
          <w:rFonts w:ascii="Segoe UI" w:hAnsi="Segoe UI" w:cs="Segoe UI"/>
          <w:sz w:val="24"/>
          <w:szCs w:val="24"/>
          <w:lang w:val="en-US"/>
        </w:rPr>
        <w:t>how the limits to</w:t>
      </w:r>
      <w:r w:rsidR="008B101F">
        <w:rPr>
          <w:rFonts w:ascii="Segoe UI" w:hAnsi="Segoe UI" w:cs="Segoe UI"/>
          <w:sz w:val="24"/>
          <w:szCs w:val="24"/>
          <w:lang w:val="en-US"/>
        </w:rPr>
        <w:t xml:space="preserve"> effluent</w:t>
      </w:r>
      <w:r w:rsidR="009916CF">
        <w:rPr>
          <w:rFonts w:ascii="Segoe UI" w:hAnsi="Segoe UI" w:cs="Segoe UI"/>
          <w:sz w:val="24"/>
          <w:szCs w:val="24"/>
          <w:lang w:val="en-US"/>
        </w:rPr>
        <w:t xml:space="preserve"> release levels </w:t>
      </w:r>
      <w:r>
        <w:rPr>
          <w:rFonts w:ascii="Segoe UI" w:hAnsi="Segoe UI" w:cs="Segoe UI"/>
          <w:sz w:val="24"/>
          <w:szCs w:val="24"/>
          <w:lang w:val="en-US"/>
        </w:rPr>
        <w:t>are</w:t>
      </w:r>
      <w:r w:rsidR="009916CF">
        <w:rPr>
          <w:rFonts w:ascii="Segoe UI" w:hAnsi="Segoe UI" w:cs="Segoe UI"/>
          <w:sz w:val="24"/>
          <w:szCs w:val="24"/>
          <w:lang w:val="en-US"/>
        </w:rPr>
        <w:t xml:space="preserve"> determined</w:t>
      </w:r>
      <w:r w:rsidR="00D318B2">
        <w:rPr>
          <w:rFonts w:ascii="Segoe UI" w:hAnsi="Segoe UI" w:cs="Segoe UI"/>
          <w:sz w:val="24"/>
          <w:szCs w:val="24"/>
          <w:lang w:val="en-US"/>
        </w:rPr>
        <w:t xml:space="preserve"> and regulated</w:t>
      </w:r>
      <w:r w:rsidR="007D04CB">
        <w:rPr>
          <w:rFonts w:ascii="Segoe UI" w:hAnsi="Segoe UI" w:cs="Segoe UI"/>
          <w:sz w:val="24"/>
          <w:szCs w:val="24"/>
          <w:lang w:val="en-US"/>
        </w:rPr>
        <w:t>.</w:t>
      </w:r>
    </w:p>
    <w:p w14:paraId="70A8667D" w14:textId="77777777" w:rsidR="007D3079" w:rsidRPr="007D04CB" w:rsidRDefault="007D3079" w:rsidP="007D3079">
      <w:pPr>
        <w:pStyle w:val="ListParagraph"/>
        <w:ind w:left="714"/>
        <w:jc w:val="both"/>
        <w:rPr>
          <w:rFonts w:ascii="Segoe UI" w:hAnsi="Segoe UI" w:cs="Segoe UI"/>
          <w:sz w:val="24"/>
          <w:szCs w:val="24"/>
          <w:lang w:val="en-US"/>
        </w:rPr>
      </w:pPr>
    </w:p>
    <w:p w14:paraId="7D2E406E" w14:textId="26245EB0" w:rsidR="002E67CD" w:rsidRPr="007D04CB" w:rsidRDefault="002E67CD" w:rsidP="007D04CB">
      <w:pPr>
        <w:pStyle w:val="ListParagraph"/>
        <w:ind w:left="360"/>
        <w:jc w:val="both"/>
        <w:rPr>
          <w:rFonts w:ascii="Segoe UI" w:hAnsi="Segoe UI" w:cs="Segoe UI"/>
          <w:b/>
          <w:bCs/>
          <w:sz w:val="24"/>
          <w:szCs w:val="24"/>
          <w:lang w:val="en-US"/>
        </w:rPr>
      </w:pPr>
      <w:r>
        <w:rPr>
          <w:rFonts w:ascii="Segoe UI" w:hAnsi="Segoe UI" w:cs="Segoe UI"/>
          <w:b/>
          <w:bCs/>
          <w:sz w:val="24"/>
          <w:szCs w:val="24"/>
          <w:lang w:val="en-US"/>
        </w:rPr>
        <w:t>Emergency Management</w:t>
      </w:r>
    </w:p>
    <w:p w14:paraId="47371BF1" w14:textId="0A275DE6" w:rsidR="007D04CB" w:rsidRDefault="008A1BBA" w:rsidP="00856D3F">
      <w:pPr>
        <w:pStyle w:val="ListParagraph"/>
        <w:numPr>
          <w:ilvl w:val="0"/>
          <w:numId w:val="8"/>
        </w:numPr>
        <w:ind w:left="714" w:hanging="357"/>
        <w:jc w:val="both"/>
        <w:rPr>
          <w:rFonts w:ascii="Segoe UI" w:hAnsi="Segoe UI" w:cs="Segoe UI"/>
          <w:sz w:val="24"/>
          <w:szCs w:val="24"/>
          <w:lang w:val="en-US"/>
        </w:rPr>
      </w:pPr>
      <w:r>
        <w:rPr>
          <w:rFonts w:ascii="Segoe UI" w:hAnsi="Segoe UI" w:cs="Segoe UI"/>
          <w:sz w:val="24"/>
          <w:szCs w:val="24"/>
          <w:lang w:val="en-US"/>
        </w:rPr>
        <w:t xml:space="preserve">OPG should provide </w:t>
      </w:r>
      <w:r w:rsidR="0048372D">
        <w:rPr>
          <w:rFonts w:ascii="Segoe UI" w:hAnsi="Segoe UI" w:cs="Segoe UI"/>
          <w:sz w:val="24"/>
          <w:szCs w:val="24"/>
          <w:lang w:val="en-US"/>
        </w:rPr>
        <w:t>m</w:t>
      </w:r>
      <w:r>
        <w:rPr>
          <w:rFonts w:ascii="Segoe UI" w:hAnsi="Segoe UI" w:cs="Segoe UI"/>
          <w:sz w:val="24"/>
          <w:szCs w:val="24"/>
          <w:lang w:val="en-US"/>
        </w:rPr>
        <w:t>ore</w:t>
      </w:r>
      <w:r w:rsidR="007D04CB" w:rsidRPr="007D04CB">
        <w:rPr>
          <w:rFonts w:ascii="Segoe UI" w:hAnsi="Segoe UI" w:cs="Segoe UI"/>
          <w:sz w:val="24"/>
          <w:szCs w:val="24"/>
          <w:lang w:val="en-US"/>
        </w:rPr>
        <w:t xml:space="preserve"> information on </w:t>
      </w:r>
      <w:r w:rsidR="00B62CE7">
        <w:rPr>
          <w:rFonts w:ascii="Segoe UI" w:hAnsi="Segoe UI" w:cs="Segoe UI"/>
          <w:sz w:val="24"/>
          <w:szCs w:val="24"/>
          <w:lang w:val="en-US"/>
        </w:rPr>
        <w:t xml:space="preserve">its emergency management plan and </w:t>
      </w:r>
      <w:r w:rsidR="007D04CB" w:rsidRPr="007D04CB">
        <w:rPr>
          <w:rFonts w:ascii="Segoe UI" w:hAnsi="Segoe UI" w:cs="Segoe UI"/>
          <w:sz w:val="24"/>
          <w:szCs w:val="24"/>
          <w:lang w:val="en-US"/>
        </w:rPr>
        <w:t>how emergency planning for BWRX-300 deployment will encompass a larger range of the population in the event of a severe nuclear incident</w:t>
      </w:r>
      <w:r w:rsidR="007B0373">
        <w:rPr>
          <w:rFonts w:ascii="Segoe UI" w:hAnsi="Segoe UI" w:cs="Segoe UI"/>
          <w:sz w:val="24"/>
          <w:szCs w:val="24"/>
          <w:lang w:val="en-US"/>
        </w:rPr>
        <w:t xml:space="preserve">. </w:t>
      </w:r>
    </w:p>
    <w:p w14:paraId="749FFF5B" w14:textId="6FC5A269" w:rsidR="008762F4" w:rsidRDefault="008A1BBA" w:rsidP="00856D3F">
      <w:pPr>
        <w:pStyle w:val="ListParagraph"/>
        <w:numPr>
          <w:ilvl w:val="0"/>
          <w:numId w:val="8"/>
        </w:numPr>
        <w:ind w:left="714" w:hanging="357"/>
        <w:jc w:val="both"/>
        <w:rPr>
          <w:rFonts w:ascii="Segoe UI" w:hAnsi="Segoe UI" w:cs="Segoe UI"/>
          <w:sz w:val="24"/>
          <w:szCs w:val="24"/>
          <w:lang w:val="en-US"/>
        </w:rPr>
      </w:pPr>
      <w:r>
        <w:rPr>
          <w:rFonts w:ascii="Segoe UI" w:hAnsi="Segoe UI" w:cs="Segoe UI"/>
          <w:sz w:val="24"/>
          <w:szCs w:val="24"/>
          <w:lang w:val="en-US"/>
        </w:rPr>
        <w:t>OPG should consider e</w:t>
      </w:r>
      <w:r w:rsidR="008762F4" w:rsidRPr="008762F4">
        <w:rPr>
          <w:rFonts w:ascii="Segoe UI" w:hAnsi="Segoe UI" w:cs="Segoe UI"/>
          <w:sz w:val="24"/>
          <w:szCs w:val="24"/>
          <w:lang w:val="en-US"/>
        </w:rPr>
        <w:t>ffect</w:t>
      </w:r>
      <w:r w:rsidR="008762F4">
        <w:rPr>
          <w:rFonts w:ascii="Segoe UI" w:hAnsi="Segoe UI" w:cs="Segoe UI"/>
          <w:sz w:val="24"/>
          <w:szCs w:val="24"/>
          <w:lang w:val="en-US"/>
        </w:rPr>
        <w:t>s</w:t>
      </w:r>
      <w:r w:rsidR="008762F4" w:rsidRPr="008762F4">
        <w:rPr>
          <w:rFonts w:ascii="Segoe UI" w:hAnsi="Segoe UI" w:cs="Segoe UI"/>
          <w:sz w:val="24"/>
          <w:szCs w:val="24"/>
          <w:lang w:val="en-US"/>
        </w:rPr>
        <w:t xml:space="preserve"> of a severe core damage accident at an operating unit on safety of personnel engaged in construction of the new reactor(s) </w:t>
      </w:r>
      <w:r w:rsidR="008C3408">
        <w:rPr>
          <w:rFonts w:ascii="Segoe UI" w:hAnsi="Segoe UI" w:cs="Segoe UI"/>
          <w:sz w:val="24"/>
          <w:szCs w:val="24"/>
          <w:lang w:val="en-US"/>
        </w:rPr>
        <w:t xml:space="preserve">and this </w:t>
      </w:r>
      <w:r w:rsidR="00B62CE7">
        <w:rPr>
          <w:rFonts w:ascii="Segoe UI" w:hAnsi="Segoe UI" w:cs="Segoe UI"/>
          <w:sz w:val="24"/>
          <w:szCs w:val="24"/>
          <w:lang w:val="en-US"/>
        </w:rPr>
        <w:t xml:space="preserve">information </w:t>
      </w:r>
      <w:r w:rsidR="008C3408">
        <w:rPr>
          <w:rFonts w:ascii="Segoe UI" w:hAnsi="Segoe UI" w:cs="Segoe UI"/>
          <w:sz w:val="24"/>
          <w:szCs w:val="24"/>
          <w:lang w:val="en-US"/>
        </w:rPr>
        <w:t xml:space="preserve">should be </w:t>
      </w:r>
      <w:r w:rsidR="008762F4">
        <w:rPr>
          <w:rFonts w:ascii="Segoe UI" w:hAnsi="Segoe UI" w:cs="Segoe UI"/>
          <w:sz w:val="24"/>
          <w:szCs w:val="24"/>
          <w:lang w:val="en-US"/>
        </w:rPr>
        <w:t>reflected in OPG’s emergency planning assessment.</w:t>
      </w:r>
    </w:p>
    <w:p w14:paraId="38307D1B" w14:textId="48C0F897" w:rsidR="007D3079" w:rsidRDefault="008A1BBA" w:rsidP="00856D3F">
      <w:pPr>
        <w:pStyle w:val="ListParagraph"/>
        <w:numPr>
          <w:ilvl w:val="0"/>
          <w:numId w:val="8"/>
        </w:numPr>
        <w:ind w:left="714" w:hanging="357"/>
        <w:jc w:val="both"/>
        <w:rPr>
          <w:rFonts w:ascii="Segoe UI" w:hAnsi="Segoe UI" w:cs="Segoe UI"/>
          <w:sz w:val="24"/>
          <w:szCs w:val="24"/>
          <w:lang w:val="en-US"/>
        </w:rPr>
      </w:pPr>
      <w:r w:rsidRPr="001E0B98">
        <w:rPr>
          <w:rFonts w:ascii="Segoe UI" w:hAnsi="Segoe UI" w:cs="Segoe UI"/>
          <w:sz w:val="24"/>
          <w:szCs w:val="24"/>
          <w:lang w:val="en-US"/>
        </w:rPr>
        <w:t>CNSC should p</w:t>
      </w:r>
      <w:r w:rsidR="00D37AB6" w:rsidRPr="001E0B98">
        <w:rPr>
          <w:rFonts w:ascii="Segoe UI" w:hAnsi="Segoe UI" w:cs="Segoe UI"/>
          <w:sz w:val="24"/>
          <w:szCs w:val="24"/>
          <w:lang w:val="en-US"/>
        </w:rPr>
        <w:t>ublish the 2019 Technical Study Report of the Provincial Nuclear Emergency Response Plan (PNERP) on the Open Gov</w:t>
      </w:r>
      <w:r w:rsidR="008C3408">
        <w:rPr>
          <w:rFonts w:ascii="Segoe UI" w:hAnsi="Segoe UI" w:cs="Segoe UI"/>
          <w:sz w:val="24"/>
          <w:szCs w:val="24"/>
          <w:lang w:val="en-US"/>
        </w:rPr>
        <w:t>ernment</w:t>
      </w:r>
      <w:r w:rsidR="00D37AB6" w:rsidRPr="001E0B98">
        <w:rPr>
          <w:rFonts w:ascii="Segoe UI" w:hAnsi="Segoe UI" w:cs="Segoe UI"/>
          <w:sz w:val="24"/>
          <w:szCs w:val="24"/>
          <w:lang w:val="en-US"/>
        </w:rPr>
        <w:t xml:space="preserve"> </w:t>
      </w:r>
      <w:r w:rsidR="008C3408">
        <w:rPr>
          <w:rFonts w:ascii="Segoe UI" w:hAnsi="Segoe UI" w:cs="Segoe UI"/>
          <w:sz w:val="24"/>
          <w:szCs w:val="24"/>
          <w:lang w:val="en-US"/>
        </w:rPr>
        <w:t>P</w:t>
      </w:r>
      <w:r w:rsidR="00D37AB6" w:rsidRPr="001E0B98">
        <w:rPr>
          <w:rFonts w:ascii="Segoe UI" w:hAnsi="Segoe UI" w:cs="Segoe UI"/>
          <w:sz w:val="24"/>
          <w:szCs w:val="24"/>
          <w:lang w:val="en-US"/>
        </w:rPr>
        <w:t>ortal</w:t>
      </w:r>
      <w:r w:rsidR="009827E1">
        <w:rPr>
          <w:rFonts w:ascii="Segoe UI" w:hAnsi="Segoe UI" w:cs="Segoe UI"/>
          <w:sz w:val="24"/>
          <w:szCs w:val="24"/>
          <w:lang w:val="en-US"/>
        </w:rPr>
        <w:t>.</w:t>
      </w:r>
    </w:p>
    <w:p w14:paraId="75978848" w14:textId="68963908" w:rsidR="00993EE3" w:rsidRPr="007178F7" w:rsidRDefault="00993EE3" w:rsidP="00993EE3">
      <w:pPr>
        <w:spacing w:before="120" w:after="240"/>
        <w:jc w:val="both"/>
        <w:rPr>
          <w:rFonts w:ascii="Segoe UI" w:hAnsi="Segoe UI" w:cs="Segoe UI"/>
          <w:b/>
          <w:bCs/>
          <w:sz w:val="36"/>
          <w:szCs w:val="36"/>
        </w:rPr>
      </w:pPr>
      <w:r w:rsidRPr="007178F7">
        <w:rPr>
          <w:rFonts w:ascii="Segoe UI" w:hAnsi="Segoe UI" w:cs="Segoe UI"/>
          <w:b/>
          <w:bCs/>
          <w:sz w:val="36"/>
          <w:szCs w:val="36"/>
        </w:rPr>
        <w:t>Conclusion</w:t>
      </w:r>
    </w:p>
    <w:p w14:paraId="0BA81C3C" w14:textId="12C9F7F0" w:rsidR="002A1E34" w:rsidRDefault="00AD688E" w:rsidP="002A1E34">
      <w:pPr>
        <w:jc w:val="both"/>
        <w:rPr>
          <w:rFonts w:ascii="Segoe UI" w:hAnsi="Segoe UI" w:cs="Segoe UI"/>
          <w:sz w:val="24"/>
          <w:szCs w:val="24"/>
        </w:rPr>
      </w:pPr>
      <w:r>
        <w:rPr>
          <w:rFonts w:ascii="Segoe UI" w:hAnsi="Segoe UI" w:cs="Segoe UI"/>
          <w:sz w:val="24"/>
          <w:szCs w:val="24"/>
        </w:rPr>
        <w:t>P</w:t>
      </w:r>
      <w:r w:rsidR="002A1E34">
        <w:rPr>
          <w:rFonts w:ascii="Segoe UI" w:hAnsi="Segoe UI" w:cs="Segoe UI"/>
          <w:sz w:val="24"/>
          <w:szCs w:val="24"/>
        </w:rPr>
        <w:t xml:space="preserve">articipants </w:t>
      </w:r>
      <w:r w:rsidR="00C01B76">
        <w:rPr>
          <w:rFonts w:ascii="Segoe UI" w:hAnsi="Segoe UI" w:cs="Segoe UI"/>
          <w:sz w:val="24"/>
          <w:szCs w:val="24"/>
        </w:rPr>
        <w:t xml:space="preserve">expressed interest in </w:t>
      </w:r>
      <w:r w:rsidR="002A1E34">
        <w:rPr>
          <w:rFonts w:ascii="Segoe UI" w:hAnsi="Segoe UI" w:cs="Segoe UI"/>
          <w:sz w:val="24"/>
          <w:szCs w:val="24"/>
        </w:rPr>
        <w:t xml:space="preserve">future workshops as OPG’s </w:t>
      </w:r>
      <w:r w:rsidR="007C67E0">
        <w:rPr>
          <w:rFonts w:ascii="Segoe UI" w:hAnsi="Segoe UI" w:cs="Segoe UI"/>
          <w:sz w:val="24"/>
          <w:szCs w:val="24"/>
        </w:rPr>
        <w:t>licence to construct</w:t>
      </w:r>
      <w:r w:rsidR="002A1E34">
        <w:rPr>
          <w:rFonts w:ascii="Segoe UI" w:hAnsi="Segoe UI" w:cs="Segoe UI"/>
          <w:sz w:val="24"/>
          <w:szCs w:val="24"/>
        </w:rPr>
        <w:t xml:space="preserve"> application moves through the regulatory review process.</w:t>
      </w:r>
      <w:r w:rsidR="007C67E0">
        <w:rPr>
          <w:rFonts w:ascii="Segoe UI" w:hAnsi="Segoe UI" w:cs="Segoe UI"/>
          <w:sz w:val="24"/>
          <w:szCs w:val="24"/>
        </w:rPr>
        <w:t xml:space="preserve"> </w:t>
      </w:r>
      <w:r>
        <w:rPr>
          <w:rFonts w:ascii="Segoe UI" w:hAnsi="Segoe UI" w:cs="Segoe UI"/>
          <w:sz w:val="24"/>
          <w:szCs w:val="24"/>
        </w:rPr>
        <w:t>CNSC</w:t>
      </w:r>
      <w:r w:rsidR="0015398A">
        <w:rPr>
          <w:rFonts w:ascii="Segoe UI" w:hAnsi="Segoe UI" w:cs="Segoe UI"/>
          <w:sz w:val="24"/>
          <w:szCs w:val="24"/>
        </w:rPr>
        <w:t xml:space="preserve"> staff</w:t>
      </w:r>
      <w:r>
        <w:rPr>
          <w:rFonts w:ascii="Segoe UI" w:hAnsi="Segoe UI" w:cs="Segoe UI"/>
          <w:sz w:val="24"/>
          <w:szCs w:val="24"/>
        </w:rPr>
        <w:t xml:space="preserve"> will continue to work with Indigenous Nations and communities, </w:t>
      </w:r>
      <w:r w:rsidR="00BC0DE1">
        <w:rPr>
          <w:rFonts w:ascii="Segoe UI" w:hAnsi="Segoe UI" w:cs="Segoe UI"/>
          <w:sz w:val="24"/>
          <w:szCs w:val="24"/>
        </w:rPr>
        <w:t xml:space="preserve">civil societies, </w:t>
      </w:r>
      <w:proofErr w:type="gramStart"/>
      <w:r w:rsidR="00BC0DE1">
        <w:rPr>
          <w:rFonts w:ascii="Segoe UI" w:hAnsi="Segoe UI" w:cs="Segoe UI"/>
          <w:sz w:val="24"/>
          <w:szCs w:val="24"/>
        </w:rPr>
        <w:t>NGOs</w:t>
      </w:r>
      <w:proofErr w:type="gramEnd"/>
      <w:r w:rsidR="00BC0DE1">
        <w:rPr>
          <w:rFonts w:ascii="Segoe UI" w:hAnsi="Segoe UI" w:cs="Segoe UI"/>
          <w:sz w:val="24"/>
          <w:szCs w:val="24"/>
        </w:rPr>
        <w:t xml:space="preserve"> and </w:t>
      </w:r>
      <w:r>
        <w:rPr>
          <w:rFonts w:ascii="Segoe UI" w:hAnsi="Segoe UI" w:cs="Segoe UI"/>
          <w:sz w:val="24"/>
          <w:szCs w:val="24"/>
        </w:rPr>
        <w:t xml:space="preserve">the </w:t>
      </w:r>
      <w:r w:rsidR="009D7B56">
        <w:rPr>
          <w:rFonts w:ascii="Segoe UI" w:hAnsi="Segoe UI" w:cs="Segoe UI"/>
          <w:sz w:val="24"/>
          <w:szCs w:val="24"/>
        </w:rPr>
        <w:t>public to</w:t>
      </w:r>
      <w:r>
        <w:rPr>
          <w:rFonts w:ascii="Segoe UI" w:hAnsi="Segoe UI" w:cs="Segoe UI"/>
          <w:sz w:val="24"/>
          <w:szCs w:val="24"/>
        </w:rPr>
        <w:t xml:space="preserve"> assess the effectiveness of the workshop and the format of any potential future workshops. </w:t>
      </w:r>
      <w:r w:rsidR="002A1E34">
        <w:rPr>
          <w:rFonts w:ascii="Segoe UI" w:hAnsi="Segoe UI" w:cs="Segoe UI"/>
          <w:sz w:val="24"/>
          <w:szCs w:val="24"/>
        </w:rPr>
        <w:t xml:space="preserve">These workshops will continue to enhance the CNSC’s understanding of the concerns and interests </w:t>
      </w:r>
      <w:r w:rsidR="002805C2">
        <w:rPr>
          <w:rFonts w:ascii="Segoe UI" w:hAnsi="Segoe UI" w:cs="Segoe UI"/>
          <w:sz w:val="24"/>
          <w:szCs w:val="24"/>
        </w:rPr>
        <w:t xml:space="preserve">of participants </w:t>
      </w:r>
      <w:r w:rsidR="002A1E34">
        <w:rPr>
          <w:rFonts w:ascii="Segoe UI" w:hAnsi="Segoe UI" w:cs="Segoe UI"/>
          <w:sz w:val="24"/>
          <w:szCs w:val="24"/>
        </w:rPr>
        <w:t xml:space="preserve">with respect to </w:t>
      </w:r>
      <w:r>
        <w:rPr>
          <w:rFonts w:ascii="Segoe UI" w:hAnsi="Segoe UI" w:cs="Segoe UI"/>
          <w:sz w:val="24"/>
          <w:szCs w:val="24"/>
        </w:rPr>
        <w:t>CNSC</w:t>
      </w:r>
      <w:r w:rsidR="0015398A">
        <w:rPr>
          <w:rFonts w:ascii="Segoe UI" w:hAnsi="Segoe UI" w:cs="Segoe UI"/>
          <w:sz w:val="24"/>
          <w:szCs w:val="24"/>
        </w:rPr>
        <w:t xml:space="preserve"> staff</w:t>
      </w:r>
      <w:r>
        <w:rPr>
          <w:rFonts w:ascii="Segoe UI" w:hAnsi="Segoe UI" w:cs="Segoe UI"/>
          <w:sz w:val="24"/>
          <w:szCs w:val="24"/>
        </w:rPr>
        <w:t xml:space="preserve">’s technical review of OPG’s request to construct one </w:t>
      </w:r>
      <w:r w:rsidR="002A1E34">
        <w:rPr>
          <w:rFonts w:ascii="Segoe UI" w:hAnsi="Segoe UI" w:cs="Segoe UI"/>
          <w:sz w:val="24"/>
          <w:szCs w:val="24"/>
        </w:rPr>
        <w:t xml:space="preserve">BWRX-300. CNSC </w:t>
      </w:r>
      <w:r w:rsidR="0015398A">
        <w:rPr>
          <w:rFonts w:ascii="Segoe UI" w:hAnsi="Segoe UI" w:cs="Segoe UI"/>
          <w:sz w:val="24"/>
          <w:szCs w:val="24"/>
        </w:rPr>
        <w:t xml:space="preserve">staff </w:t>
      </w:r>
      <w:r w:rsidR="00265BA0">
        <w:rPr>
          <w:rFonts w:ascii="Segoe UI" w:hAnsi="Segoe UI" w:cs="Segoe UI"/>
          <w:sz w:val="24"/>
          <w:szCs w:val="24"/>
        </w:rPr>
        <w:t xml:space="preserve">wish to </w:t>
      </w:r>
      <w:r w:rsidR="002A1E34">
        <w:rPr>
          <w:rFonts w:ascii="Segoe UI" w:hAnsi="Segoe UI" w:cs="Segoe UI"/>
          <w:sz w:val="24"/>
          <w:szCs w:val="24"/>
        </w:rPr>
        <w:t>thank all participants for their meaningful contributions prior to and during the workshop</w:t>
      </w:r>
      <w:r w:rsidR="00265BA0">
        <w:rPr>
          <w:rFonts w:ascii="Segoe UI" w:hAnsi="Segoe UI" w:cs="Segoe UI"/>
          <w:sz w:val="24"/>
          <w:szCs w:val="24"/>
        </w:rPr>
        <w:t xml:space="preserve"> and look forward to future engagement opportunities</w:t>
      </w:r>
      <w:r w:rsidR="002A1E34">
        <w:rPr>
          <w:rFonts w:ascii="Segoe UI" w:hAnsi="Segoe UI" w:cs="Segoe UI"/>
          <w:sz w:val="24"/>
          <w:szCs w:val="24"/>
        </w:rPr>
        <w:t xml:space="preserve">. </w:t>
      </w:r>
    </w:p>
    <w:p w14:paraId="65FBDC53" w14:textId="04C81A5D" w:rsidR="008B7468" w:rsidRDefault="00B10B31">
      <w:pPr>
        <w:rPr>
          <w:rFonts w:ascii="Segoe UI" w:hAnsi="Segoe UI" w:cs="Segoe UI"/>
          <w:b/>
          <w:bCs/>
          <w:sz w:val="36"/>
          <w:szCs w:val="36"/>
          <w:lang w:val="en-US"/>
        </w:rPr>
      </w:pPr>
      <w:r w:rsidRPr="00B10B31">
        <w:rPr>
          <w:rFonts w:ascii="Segoe UI" w:hAnsi="Segoe UI" w:cs="Segoe UI"/>
          <w:b/>
          <w:bCs/>
          <w:sz w:val="36"/>
          <w:szCs w:val="36"/>
          <w:lang w:val="en-US"/>
        </w:rPr>
        <w:t>Next Steps</w:t>
      </w:r>
    </w:p>
    <w:p w14:paraId="4D1056A3" w14:textId="5F0743FE" w:rsidR="0018799F" w:rsidRPr="005F0619" w:rsidRDefault="005F0619" w:rsidP="0018799F">
      <w:pPr>
        <w:jc w:val="both"/>
        <w:rPr>
          <w:rFonts w:ascii="Segoe UI" w:hAnsi="Segoe UI" w:cs="Segoe UI"/>
          <w:sz w:val="24"/>
          <w:szCs w:val="24"/>
        </w:rPr>
      </w:pPr>
      <w:r>
        <w:rPr>
          <w:rFonts w:ascii="Segoe UI" w:hAnsi="Segoe UI" w:cs="Segoe UI"/>
          <w:sz w:val="24"/>
          <w:szCs w:val="24"/>
        </w:rPr>
        <w:t>The CNSC is exploring how</w:t>
      </w:r>
      <w:r w:rsidR="00310D86">
        <w:rPr>
          <w:rFonts w:ascii="Segoe UI" w:hAnsi="Segoe UI" w:cs="Segoe UI"/>
          <w:sz w:val="24"/>
          <w:szCs w:val="24"/>
        </w:rPr>
        <w:t xml:space="preserve"> </w:t>
      </w:r>
      <w:r w:rsidR="00C6758C" w:rsidRPr="00927CDE">
        <w:rPr>
          <w:rFonts w:ascii="Segoe UI" w:hAnsi="Segoe UI" w:cs="Segoe UI"/>
          <w:sz w:val="24"/>
          <w:szCs w:val="24"/>
        </w:rPr>
        <w:t>to further improve transparency of information</w:t>
      </w:r>
      <w:r w:rsidR="00310D86">
        <w:rPr>
          <w:rFonts w:ascii="Segoe UI" w:hAnsi="Segoe UI" w:cs="Segoe UI"/>
          <w:sz w:val="24"/>
          <w:szCs w:val="24"/>
        </w:rPr>
        <w:t xml:space="preserve"> and how it can be accessed. </w:t>
      </w:r>
      <w:r>
        <w:rPr>
          <w:rFonts w:ascii="Segoe UI" w:hAnsi="Segoe UI" w:cs="Segoe UI"/>
          <w:sz w:val="24"/>
          <w:szCs w:val="24"/>
        </w:rPr>
        <w:t xml:space="preserve">CNSC is enhancing </w:t>
      </w:r>
      <w:r w:rsidR="0018799F">
        <w:rPr>
          <w:rFonts w:ascii="Segoe UI" w:hAnsi="Segoe UI" w:cs="Segoe UI"/>
          <w:sz w:val="24"/>
          <w:szCs w:val="24"/>
          <w:lang w:val="en-US"/>
        </w:rPr>
        <w:t xml:space="preserve">document accessibility by linking the original environmental assessment archive to the Open Government portal and directing readers to </w:t>
      </w:r>
      <w:r w:rsidR="0018799F" w:rsidRPr="007C67E0">
        <w:rPr>
          <w:rFonts w:ascii="Segoe UI" w:hAnsi="Segoe UI" w:cs="Segoe UI"/>
          <w:sz w:val="24"/>
          <w:szCs w:val="24"/>
          <w:lang w:val="en-US"/>
        </w:rPr>
        <w:t xml:space="preserve">the </w:t>
      </w:r>
      <w:hyperlink r:id="rId10" w:history="1">
        <w:r w:rsidR="007C67E0" w:rsidRPr="007C67E0">
          <w:rPr>
            <w:rStyle w:val="Hyperlink"/>
            <w:rFonts w:ascii="Segoe UI" w:hAnsi="Segoe UI" w:cs="Segoe UI"/>
          </w:rPr>
          <w:t>Open Government Portal</w:t>
        </w:r>
      </w:hyperlink>
      <w:r w:rsidR="0018799F" w:rsidRPr="007C67E0">
        <w:rPr>
          <w:rFonts w:ascii="Segoe UI" w:hAnsi="Segoe UI" w:cs="Segoe UI"/>
          <w:sz w:val="24"/>
          <w:szCs w:val="24"/>
          <w:lang w:val="en-US"/>
        </w:rPr>
        <w:t xml:space="preserve"> webpage. </w:t>
      </w:r>
      <w:r w:rsidR="007C67E0" w:rsidRPr="007C67E0">
        <w:rPr>
          <w:rFonts w:ascii="Segoe UI" w:hAnsi="Segoe UI" w:cs="Segoe UI"/>
          <w:sz w:val="24"/>
          <w:szCs w:val="24"/>
          <w:lang w:val="en-US"/>
        </w:rPr>
        <w:t xml:space="preserve">CNSC </w:t>
      </w:r>
      <w:r w:rsidR="0018799F" w:rsidRPr="007C67E0">
        <w:rPr>
          <w:rFonts w:ascii="Segoe UI" w:hAnsi="Segoe UI" w:cs="Segoe UI"/>
          <w:sz w:val="24"/>
          <w:szCs w:val="24"/>
          <w:lang w:val="en-US"/>
        </w:rPr>
        <w:t>is continuing to evaluate options to make information</w:t>
      </w:r>
      <w:r w:rsidR="0018799F">
        <w:rPr>
          <w:rFonts w:ascii="Segoe UI" w:hAnsi="Segoe UI" w:cs="Segoe UI"/>
          <w:sz w:val="24"/>
          <w:szCs w:val="24"/>
          <w:lang w:val="en-US"/>
        </w:rPr>
        <w:t xml:space="preserve"> readily available on intuitive platforms. This includes encouraging OPG to post their EIS Review supporting documentation.</w:t>
      </w:r>
      <w:r w:rsidR="00CA4228">
        <w:rPr>
          <w:rFonts w:ascii="Segoe UI" w:hAnsi="Segoe UI" w:cs="Segoe UI"/>
          <w:sz w:val="24"/>
          <w:szCs w:val="24"/>
          <w:lang w:val="en-US"/>
        </w:rPr>
        <w:t xml:space="preserve"> </w:t>
      </w:r>
      <w:r w:rsidR="00CA4228">
        <w:rPr>
          <w:rFonts w:ascii="Segoe UI" w:hAnsi="Segoe UI" w:cs="Segoe UI"/>
          <w:sz w:val="24"/>
          <w:szCs w:val="24"/>
        </w:rPr>
        <w:t xml:space="preserve">CNSC staff will continue to provide updates on the project through the </w:t>
      </w:r>
      <w:r w:rsidR="00CA4228" w:rsidRPr="00927CDE">
        <w:rPr>
          <w:rFonts w:ascii="Segoe UI" w:hAnsi="Segoe UI" w:cs="Segoe UI"/>
          <w:sz w:val="24"/>
          <w:szCs w:val="24"/>
        </w:rPr>
        <w:t xml:space="preserve">DNNP website </w:t>
      </w:r>
      <w:r w:rsidR="00CA4228">
        <w:rPr>
          <w:rFonts w:ascii="Segoe UI" w:hAnsi="Segoe UI" w:cs="Segoe UI"/>
          <w:sz w:val="24"/>
          <w:szCs w:val="24"/>
        </w:rPr>
        <w:t>and will f</w:t>
      </w:r>
      <w:r w:rsidR="00CA4228" w:rsidRPr="00927CDE">
        <w:rPr>
          <w:rFonts w:ascii="Segoe UI" w:hAnsi="Segoe UI" w:cs="Segoe UI"/>
          <w:sz w:val="24"/>
          <w:szCs w:val="24"/>
        </w:rPr>
        <w:t xml:space="preserve">ollow-up </w:t>
      </w:r>
      <w:r w:rsidR="00CA4228">
        <w:rPr>
          <w:rFonts w:ascii="Segoe UI" w:hAnsi="Segoe UI" w:cs="Segoe UI"/>
          <w:sz w:val="24"/>
          <w:szCs w:val="24"/>
        </w:rPr>
        <w:t xml:space="preserve">with workshop participants, </w:t>
      </w:r>
      <w:r w:rsidR="00CA4228" w:rsidRPr="00927CDE">
        <w:rPr>
          <w:rFonts w:ascii="Segoe UI" w:hAnsi="Segoe UI" w:cs="Segoe UI"/>
          <w:sz w:val="24"/>
          <w:szCs w:val="24"/>
        </w:rPr>
        <w:t xml:space="preserve">Indigenous </w:t>
      </w:r>
      <w:proofErr w:type="gramStart"/>
      <w:r w:rsidR="00CA4228" w:rsidRPr="00927CDE">
        <w:rPr>
          <w:rFonts w:ascii="Segoe UI" w:hAnsi="Segoe UI" w:cs="Segoe UI"/>
          <w:sz w:val="24"/>
          <w:szCs w:val="24"/>
        </w:rPr>
        <w:t>Nations</w:t>
      </w:r>
      <w:proofErr w:type="gramEnd"/>
      <w:r w:rsidR="00CA4228" w:rsidRPr="00927CDE">
        <w:rPr>
          <w:rFonts w:ascii="Segoe UI" w:hAnsi="Segoe UI" w:cs="Segoe UI"/>
          <w:sz w:val="24"/>
          <w:szCs w:val="24"/>
        </w:rPr>
        <w:t xml:space="preserve"> and </w:t>
      </w:r>
      <w:r w:rsidR="00CA4228">
        <w:rPr>
          <w:rFonts w:ascii="Segoe UI" w:hAnsi="Segoe UI" w:cs="Segoe UI"/>
          <w:sz w:val="24"/>
          <w:szCs w:val="24"/>
        </w:rPr>
        <w:t>c</w:t>
      </w:r>
      <w:r w:rsidR="00CA4228" w:rsidRPr="00927CDE">
        <w:rPr>
          <w:rFonts w:ascii="Segoe UI" w:hAnsi="Segoe UI" w:cs="Segoe UI"/>
          <w:sz w:val="24"/>
          <w:szCs w:val="24"/>
        </w:rPr>
        <w:t>ommunities</w:t>
      </w:r>
      <w:r w:rsidR="00CA4228">
        <w:rPr>
          <w:rFonts w:ascii="Segoe UI" w:hAnsi="Segoe UI" w:cs="Segoe UI"/>
          <w:sz w:val="24"/>
          <w:szCs w:val="24"/>
        </w:rPr>
        <w:t xml:space="preserve">, the public and stakeholders </w:t>
      </w:r>
      <w:r w:rsidR="00CA4228" w:rsidRPr="00927CDE">
        <w:rPr>
          <w:rFonts w:ascii="Segoe UI" w:hAnsi="Segoe UI" w:cs="Segoe UI"/>
          <w:sz w:val="24"/>
          <w:szCs w:val="24"/>
        </w:rPr>
        <w:t xml:space="preserve">to </w:t>
      </w:r>
      <w:r w:rsidR="00CA4228">
        <w:rPr>
          <w:rFonts w:ascii="Segoe UI" w:hAnsi="Segoe UI" w:cs="Segoe UI"/>
          <w:sz w:val="24"/>
          <w:szCs w:val="24"/>
        </w:rPr>
        <w:t xml:space="preserve">discuss </w:t>
      </w:r>
      <w:r w:rsidR="00CA4228" w:rsidRPr="00927CDE">
        <w:rPr>
          <w:rFonts w:ascii="Segoe UI" w:hAnsi="Segoe UI" w:cs="Segoe UI"/>
          <w:sz w:val="24"/>
          <w:szCs w:val="24"/>
        </w:rPr>
        <w:t>their concerns</w:t>
      </w:r>
      <w:r w:rsidR="00CA4228">
        <w:rPr>
          <w:rFonts w:ascii="Segoe UI" w:hAnsi="Segoe UI" w:cs="Segoe UI"/>
          <w:sz w:val="24"/>
          <w:szCs w:val="24"/>
        </w:rPr>
        <w:t>.</w:t>
      </w:r>
      <w:r w:rsidR="00CA4228" w:rsidRPr="00927CDE">
        <w:rPr>
          <w:rFonts w:ascii="Segoe UI" w:hAnsi="Segoe UI" w:cs="Segoe UI"/>
          <w:sz w:val="24"/>
          <w:szCs w:val="24"/>
        </w:rPr>
        <w:t xml:space="preserve"> </w:t>
      </w:r>
    </w:p>
    <w:p w14:paraId="204B6356" w14:textId="239C6F3C" w:rsidR="003165AB" w:rsidRPr="006476E1" w:rsidRDefault="003165AB" w:rsidP="0018799F">
      <w:pPr>
        <w:jc w:val="both"/>
        <w:rPr>
          <w:rFonts w:ascii="Segoe UI" w:hAnsi="Segoe UI" w:cs="Segoe UI"/>
          <w:sz w:val="24"/>
          <w:szCs w:val="24"/>
          <w:lang w:val="en-US"/>
        </w:rPr>
      </w:pPr>
      <w:r w:rsidRPr="007D3079">
        <w:rPr>
          <w:rFonts w:ascii="Segoe UI" w:hAnsi="Segoe UI" w:cs="Segoe UI"/>
          <w:sz w:val="24"/>
          <w:szCs w:val="24"/>
          <w:lang w:val="en-US"/>
        </w:rPr>
        <w:t>Since the workshop</w:t>
      </w:r>
      <w:r>
        <w:rPr>
          <w:rFonts w:ascii="Segoe UI" w:hAnsi="Segoe UI" w:cs="Segoe UI"/>
          <w:sz w:val="24"/>
          <w:szCs w:val="24"/>
          <w:lang w:val="en-US"/>
        </w:rPr>
        <w:t>,</w:t>
      </w:r>
      <w:r w:rsidRPr="007D3079">
        <w:rPr>
          <w:rFonts w:ascii="Segoe UI" w:hAnsi="Segoe UI" w:cs="Segoe UI"/>
          <w:sz w:val="24"/>
          <w:szCs w:val="24"/>
          <w:lang w:val="en-US"/>
        </w:rPr>
        <w:t xml:space="preserve"> the PENRP has been made available </w:t>
      </w:r>
      <w:hyperlink r:id="rId11" w:history="1">
        <w:r w:rsidRPr="007D3079">
          <w:rPr>
            <w:rStyle w:val="Hyperlink"/>
            <w:rFonts w:ascii="Segoe UI" w:hAnsi="Segoe UI" w:cs="Segoe UI"/>
            <w:sz w:val="24"/>
            <w:szCs w:val="24"/>
          </w:rPr>
          <w:t>online</w:t>
        </w:r>
      </w:hyperlink>
      <w:r w:rsidRPr="007D3079">
        <w:rPr>
          <w:rFonts w:ascii="Segoe UI" w:hAnsi="Segoe UI" w:cs="Segoe UI"/>
          <w:sz w:val="24"/>
          <w:szCs w:val="24"/>
        </w:rPr>
        <w:t xml:space="preserve">. </w:t>
      </w:r>
    </w:p>
    <w:p w14:paraId="79099B9F" w14:textId="519D1E2F" w:rsidR="007C6570" w:rsidRDefault="00310D86" w:rsidP="001B439E">
      <w:pPr>
        <w:contextualSpacing/>
        <w:jc w:val="both"/>
        <w:rPr>
          <w:rFonts w:ascii="Segoe UI" w:hAnsi="Segoe UI" w:cs="Segoe UI"/>
          <w:sz w:val="24"/>
          <w:szCs w:val="24"/>
        </w:rPr>
      </w:pPr>
      <w:r>
        <w:rPr>
          <w:rFonts w:ascii="Segoe UI" w:hAnsi="Segoe UI" w:cs="Segoe UI"/>
          <w:sz w:val="24"/>
          <w:szCs w:val="24"/>
        </w:rPr>
        <w:t xml:space="preserve">The list below describes an evergreen </w:t>
      </w:r>
      <w:r w:rsidR="00C6758C" w:rsidRPr="00927CDE">
        <w:rPr>
          <w:rFonts w:ascii="Segoe UI" w:hAnsi="Segoe UI" w:cs="Segoe UI"/>
          <w:sz w:val="24"/>
          <w:szCs w:val="24"/>
        </w:rPr>
        <w:t>multi-year schedule of planned CNSC engagement events on this project</w:t>
      </w:r>
      <w:r>
        <w:rPr>
          <w:rFonts w:ascii="Segoe UI" w:hAnsi="Segoe UI" w:cs="Segoe UI"/>
          <w:sz w:val="24"/>
          <w:szCs w:val="24"/>
        </w:rPr>
        <w:t xml:space="preserve">, </w:t>
      </w:r>
      <w:r w:rsidR="00AD688E">
        <w:rPr>
          <w:rFonts w:ascii="Segoe UI" w:hAnsi="Segoe UI" w:cs="Segoe UI"/>
          <w:sz w:val="24"/>
          <w:szCs w:val="24"/>
        </w:rPr>
        <w:t xml:space="preserve">as </w:t>
      </w:r>
      <w:r>
        <w:rPr>
          <w:rFonts w:ascii="Segoe UI" w:hAnsi="Segoe UI" w:cs="Segoe UI"/>
          <w:sz w:val="24"/>
          <w:szCs w:val="24"/>
        </w:rPr>
        <w:t>requested by workshop participants</w:t>
      </w:r>
      <w:r w:rsidR="00C45C78">
        <w:rPr>
          <w:rFonts w:ascii="Segoe UI" w:hAnsi="Segoe UI" w:cs="Segoe UI"/>
          <w:sz w:val="24"/>
          <w:szCs w:val="24"/>
        </w:rPr>
        <w:t>.</w:t>
      </w:r>
      <w:r w:rsidR="00C6758C" w:rsidRPr="00927CDE">
        <w:rPr>
          <w:rFonts w:ascii="Segoe UI" w:hAnsi="Segoe UI" w:cs="Segoe UI"/>
          <w:sz w:val="24"/>
          <w:szCs w:val="24"/>
        </w:rPr>
        <w:t xml:space="preserve"> </w:t>
      </w:r>
    </w:p>
    <w:p w14:paraId="139BC020" w14:textId="77777777" w:rsidR="001B439E" w:rsidRPr="001B439E" w:rsidRDefault="001B439E" w:rsidP="001B439E">
      <w:pPr>
        <w:contextualSpacing/>
        <w:jc w:val="both"/>
        <w:rPr>
          <w:rFonts w:ascii="Segoe UI" w:hAnsi="Segoe UI" w:cs="Segoe UI"/>
          <w:sz w:val="24"/>
          <w:szCs w:val="24"/>
        </w:rPr>
      </w:pPr>
    </w:p>
    <w:tbl>
      <w:tblPr>
        <w:tblStyle w:val="GridTable1Light-Accent1"/>
        <w:tblW w:w="0" w:type="auto"/>
        <w:tblLook w:val="04A0" w:firstRow="1" w:lastRow="0" w:firstColumn="1" w:lastColumn="0" w:noHBand="0" w:noVBand="1"/>
      </w:tblPr>
      <w:tblGrid>
        <w:gridCol w:w="6565"/>
        <w:gridCol w:w="2785"/>
      </w:tblGrid>
      <w:tr w:rsidR="007C6570" w14:paraId="4ACE35E6" w14:textId="77777777" w:rsidTr="00B65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tcPr>
          <w:p w14:paraId="66350B94" w14:textId="3204056E" w:rsidR="007C6570" w:rsidRDefault="007C6570" w:rsidP="00876D03">
            <w:pPr>
              <w:spacing w:before="160"/>
              <w:jc w:val="both"/>
              <w:rPr>
                <w:rFonts w:ascii="Segoe UI" w:eastAsia="Times New Roman" w:hAnsi="Segoe UI" w:cs="Segoe UI"/>
                <w:sz w:val="24"/>
                <w:szCs w:val="24"/>
              </w:rPr>
            </w:pPr>
            <w:r>
              <w:rPr>
                <w:rFonts w:ascii="Segoe UI" w:eastAsia="Times New Roman" w:hAnsi="Segoe UI" w:cs="Segoe UI"/>
                <w:sz w:val="24"/>
                <w:szCs w:val="24"/>
              </w:rPr>
              <w:t>ACTIVITY</w:t>
            </w:r>
          </w:p>
        </w:tc>
        <w:tc>
          <w:tcPr>
            <w:tcW w:w="2785" w:type="dxa"/>
          </w:tcPr>
          <w:p w14:paraId="1C0A1B83" w14:textId="2E297DE2" w:rsidR="007C6570" w:rsidRDefault="007C6570" w:rsidP="00876D03">
            <w:pPr>
              <w:spacing w:before="160"/>
              <w:jc w:val="both"/>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24"/>
                <w:szCs w:val="24"/>
              </w:rPr>
            </w:pPr>
            <w:r>
              <w:rPr>
                <w:rFonts w:ascii="Segoe UI" w:eastAsia="Times New Roman" w:hAnsi="Segoe UI" w:cs="Segoe UI"/>
                <w:sz w:val="24"/>
                <w:szCs w:val="24"/>
              </w:rPr>
              <w:t>DATE</w:t>
            </w:r>
          </w:p>
        </w:tc>
      </w:tr>
      <w:tr w:rsidR="007C67E0" w14:paraId="6F56C830" w14:textId="77777777" w:rsidTr="00B65F0A">
        <w:tc>
          <w:tcPr>
            <w:cnfStyle w:val="001000000000" w:firstRow="0" w:lastRow="0" w:firstColumn="1" w:lastColumn="0" w:oddVBand="0" w:evenVBand="0" w:oddHBand="0" w:evenHBand="0" w:firstRowFirstColumn="0" w:firstRowLastColumn="0" w:lastRowFirstColumn="0" w:lastRowLastColumn="0"/>
            <w:tcW w:w="6565" w:type="dxa"/>
          </w:tcPr>
          <w:p w14:paraId="63F69311" w14:textId="289560B7" w:rsidR="007C67E0" w:rsidRPr="00252461" w:rsidRDefault="007C67E0" w:rsidP="00876D03">
            <w:pPr>
              <w:spacing w:before="160"/>
              <w:jc w:val="both"/>
              <w:rPr>
                <w:rFonts w:ascii="Segoe UI" w:eastAsia="Times New Roman" w:hAnsi="Segoe UI" w:cs="Segoe UI"/>
                <w:b w:val="0"/>
                <w:bCs w:val="0"/>
                <w:sz w:val="24"/>
                <w:szCs w:val="24"/>
              </w:rPr>
            </w:pPr>
            <w:r>
              <w:rPr>
                <w:rFonts w:ascii="Segoe UI" w:eastAsia="Times New Roman" w:hAnsi="Segoe UI" w:cs="Segoe UI"/>
                <w:b w:val="0"/>
                <w:bCs w:val="0"/>
                <w:sz w:val="24"/>
                <w:szCs w:val="24"/>
              </w:rPr>
              <w:t xml:space="preserve">CNSC </w:t>
            </w:r>
            <w:r w:rsidRPr="00F0761D">
              <w:rPr>
                <w:rFonts w:ascii="Segoe UI" w:eastAsia="Times New Roman" w:hAnsi="Segoe UI" w:cs="Segoe UI"/>
                <w:b w:val="0"/>
                <w:bCs w:val="0"/>
                <w:sz w:val="24"/>
                <w:szCs w:val="24"/>
              </w:rPr>
              <w:t>Open House in the Municipality of Clarington which will showcase all nuclear projects in the area</w:t>
            </w:r>
          </w:p>
        </w:tc>
        <w:tc>
          <w:tcPr>
            <w:tcW w:w="2785" w:type="dxa"/>
          </w:tcPr>
          <w:p w14:paraId="36DCB9C2" w14:textId="77777777" w:rsidR="007C67E0" w:rsidRPr="00F0761D" w:rsidRDefault="007C67E0" w:rsidP="00B65F0A">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4"/>
                <w:szCs w:val="24"/>
              </w:rPr>
            </w:pPr>
            <w:r w:rsidRPr="00F0761D">
              <w:rPr>
                <w:rFonts w:ascii="Segoe UI" w:eastAsia="Times New Roman" w:hAnsi="Segoe UI" w:cs="Segoe UI"/>
                <w:sz w:val="24"/>
                <w:szCs w:val="24"/>
              </w:rPr>
              <w:t>September 26</w:t>
            </w:r>
            <w:r w:rsidRPr="00F0761D">
              <w:rPr>
                <w:rFonts w:ascii="Segoe UI" w:eastAsia="Times New Roman" w:hAnsi="Segoe UI" w:cs="Segoe UI"/>
                <w:sz w:val="24"/>
                <w:szCs w:val="24"/>
                <w:vertAlign w:val="superscript"/>
              </w:rPr>
              <w:t>th</w:t>
            </w:r>
            <w:r w:rsidRPr="00F0761D">
              <w:rPr>
                <w:rFonts w:ascii="Segoe UI" w:eastAsia="Times New Roman" w:hAnsi="Segoe UI" w:cs="Segoe UI"/>
                <w:sz w:val="24"/>
                <w:szCs w:val="24"/>
              </w:rPr>
              <w:t xml:space="preserve">, 2023 </w:t>
            </w:r>
          </w:p>
          <w:p w14:paraId="0574DD34" w14:textId="05AC1CE2" w:rsidR="007C67E0" w:rsidRDefault="007C67E0" w:rsidP="00B65F0A">
            <w:pPr>
              <w:spacing w:before="16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4"/>
                <w:szCs w:val="24"/>
              </w:rPr>
            </w:pPr>
          </w:p>
        </w:tc>
      </w:tr>
      <w:tr w:rsidR="007C67E0" w14:paraId="2D64E29D" w14:textId="77777777" w:rsidTr="00B65F0A">
        <w:tc>
          <w:tcPr>
            <w:cnfStyle w:val="001000000000" w:firstRow="0" w:lastRow="0" w:firstColumn="1" w:lastColumn="0" w:oddVBand="0" w:evenVBand="0" w:oddHBand="0" w:evenHBand="0" w:firstRowFirstColumn="0" w:firstRowLastColumn="0" w:lastRowFirstColumn="0" w:lastRowLastColumn="0"/>
            <w:tcW w:w="6565" w:type="dxa"/>
          </w:tcPr>
          <w:p w14:paraId="6F4AD165" w14:textId="3E8091A7" w:rsidR="007C67E0" w:rsidRPr="00252461" w:rsidRDefault="007C67E0" w:rsidP="00ED2DF4">
            <w:pPr>
              <w:jc w:val="both"/>
              <w:rPr>
                <w:rFonts w:ascii="Segoe UI" w:eastAsia="Times New Roman" w:hAnsi="Segoe UI" w:cs="Segoe UI"/>
                <w:b w:val="0"/>
                <w:bCs w:val="0"/>
                <w:sz w:val="24"/>
                <w:szCs w:val="24"/>
              </w:rPr>
            </w:pPr>
            <w:r w:rsidRPr="0084262E">
              <w:rPr>
                <w:rFonts w:ascii="Segoe UI" w:eastAsia="Times New Roman" w:hAnsi="Segoe UI" w:cs="Segoe UI"/>
                <w:b w:val="0"/>
                <w:bCs w:val="0"/>
                <w:sz w:val="24"/>
                <w:szCs w:val="24"/>
              </w:rPr>
              <w:t>Public webinars which will provide an overview of OPG’s hearing submission and CNSC staff’s recommendations to be considered at the hearing in January 2024</w:t>
            </w:r>
          </w:p>
        </w:tc>
        <w:tc>
          <w:tcPr>
            <w:tcW w:w="2785" w:type="dxa"/>
          </w:tcPr>
          <w:p w14:paraId="2450088E" w14:textId="4546B8B5" w:rsidR="007C67E0" w:rsidRDefault="007C67E0" w:rsidP="00B65F0A">
            <w:pPr>
              <w:spacing w:before="16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4"/>
                <w:szCs w:val="24"/>
              </w:rPr>
            </w:pPr>
            <w:r>
              <w:rPr>
                <w:rFonts w:ascii="Segoe UI" w:eastAsia="Times New Roman" w:hAnsi="Segoe UI" w:cs="Segoe UI"/>
                <w:sz w:val="24"/>
                <w:szCs w:val="24"/>
              </w:rPr>
              <w:t>November, 2023</w:t>
            </w:r>
          </w:p>
        </w:tc>
      </w:tr>
      <w:tr w:rsidR="007C67E0" w14:paraId="5CF049B2" w14:textId="77777777" w:rsidTr="00B65F0A">
        <w:tc>
          <w:tcPr>
            <w:cnfStyle w:val="001000000000" w:firstRow="0" w:lastRow="0" w:firstColumn="1" w:lastColumn="0" w:oddVBand="0" w:evenVBand="0" w:oddHBand="0" w:evenHBand="0" w:firstRowFirstColumn="0" w:firstRowLastColumn="0" w:lastRowFirstColumn="0" w:lastRowLastColumn="0"/>
            <w:tcW w:w="6565" w:type="dxa"/>
          </w:tcPr>
          <w:p w14:paraId="12566F43" w14:textId="4A2B83D2" w:rsidR="007C67E0" w:rsidRPr="00252461" w:rsidRDefault="007C67E0" w:rsidP="00252461">
            <w:pPr>
              <w:spacing w:before="160"/>
              <w:rPr>
                <w:rFonts w:ascii="Segoe UI" w:eastAsia="Times New Roman" w:hAnsi="Segoe UI" w:cs="Segoe UI"/>
                <w:b w:val="0"/>
                <w:bCs w:val="0"/>
                <w:sz w:val="24"/>
                <w:szCs w:val="24"/>
              </w:rPr>
            </w:pPr>
            <w:r w:rsidRPr="0037380D">
              <w:rPr>
                <w:rFonts w:ascii="Segoe UI" w:eastAsia="Times New Roman" w:hAnsi="Segoe UI" w:cs="Segoe UI"/>
                <w:b w:val="0"/>
                <w:bCs w:val="0"/>
                <w:sz w:val="24"/>
                <w:szCs w:val="24"/>
              </w:rPr>
              <w:t>Requests to intervene in Hearing # 1 are due and filed with the Commission Registry</w:t>
            </w:r>
          </w:p>
        </w:tc>
        <w:tc>
          <w:tcPr>
            <w:tcW w:w="2785" w:type="dxa"/>
          </w:tcPr>
          <w:p w14:paraId="18F72918" w14:textId="28C516D1" w:rsidR="007C67E0" w:rsidRDefault="007C67E0" w:rsidP="00B65F0A">
            <w:pPr>
              <w:spacing w:before="16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4"/>
                <w:szCs w:val="24"/>
              </w:rPr>
            </w:pPr>
            <w:r>
              <w:rPr>
                <w:rFonts w:ascii="Segoe UI" w:eastAsia="Times New Roman" w:hAnsi="Segoe UI" w:cs="Segoe UI"/>
                <w:sz w:val="24"/>
                <w:szCs w:val="24"/>
              </w:rPr>
              <w:t>November 20</w:t>
            </w:r>
            <w:r w:rsidRPr="00097041">
              <w:rPr>
                <w:rFonts w:ascii="Segoe UI" w:eastAsia="Times New Roman" w:hAnsi="Segoe UI" w:cs="Segoe UI"/>
                <w:sz w:val="24"/>
                <w:szCs w:val="24"/>
                <w:vertAlign w:val="superscript"/>
              </w:rPr>
              <w:t>th</w:t>
            </w:r>
            <w:r>
              <w:rPr>
                <w:rFonts w:ascii="Segoe UI" w:eastAsia="Times New Roman" w:hAnsi="Segoe UI" w:cs="Segoe UI"/>
                <w:sz w:val="24"/>
                <w:szCs w:val="24"/>
              </w:rPr>
              <w:t xml:space="preserve">, </w:t>
            </w:r>
            <w:proofErr w:type="gramStart"/>
            <w:r>
              <w:rPr>
                <w:rFonts w:ascii="Segoe UI" w:eastAsia="Times New Roman" w:hAnsi="Segoe UI" w:cs="Segoe UI"/>
                <w:sz w:val="24"/>
                <w:szCs w:val="24"/>
              </w:rPr>
              <w:t>2023</w:t>
            </w:r>
            <w:proofErr w:type="gramEnd"/>
            <w:r>
              <w:rPr>
                <w:rFonts w:ascii="Segoe UI" w:eastAsia="Times New Roman" w:hAnsi="Segoe UI" w:cs="Segoe UI"/>
                <w:sz w:val="24"/>
                <w:szCs w:val="24"/>
              </w:rPr>
              <w:t xml:space="preserve"> </w:t>
            </w:r>
          </w:p>
        </w:tc>
      </w:tr>
      <w:tr w:rsidR="007C67E0" w14:paraId="67FDB3E1" w14:textId="77777777" w:rsidTr="00B65F0A">
        <w:tc>
          <w:tcPr>
            <w:cnfStyle w:val="001000000000" w:firstRow="0" w:lastRow="0" w:firstColumn="1" w:lastColumn="0" w:oddVBand="0" w:evenVBand="0" w:oddHBand="0" w:evenHBand="0" w:firstRowFirstColumn="0" w:firstRowLastColumn="0" w:lastRowFirstColumn="0" w:lastRowLastColumn="0"/>
            <w:tcW w:w="6565" w:type="dxa"/>
          </w:tcPr>
          <w:p w14:paraId="0948128D" w14:textId="71C5E43A" w:rsidR="007C67E0" w:rsidRPr="00F0761D" w:rsidRDefault="007C67E0" w:rsidP="00F0761D">
            <w:pPr>
              <w:jc w:val="both"/>
              <w:rPr>
                <w:rFonts w:ascii="Segoe UI" w:eastAsia="Times New Roman" w:hAnsi="Segoe UI" w:cs="Segoe UI"/>
                <w:b w:val="0"/>
                <w:bCs w:val="0"/>
                <w:sz w:val="24"/>
                <w:szCs w:val="24"/>
              </w:rPr>
            </w:pPr>
            <w:r>
              <w:rPr>
                <w:rFonts w:ascii="Segoe UI" w:eastAsia="Times New Roman" w:hAnsi="Segoe UI" w:cs="Segoe UI"/>
                <w:b w:val="0"/>
                <w:bCs w:val="0"/>
                <w:sz w:val="24"/>
                <w:szCs w:val="24"/>
              </w:rPr>
              <w:t>OPG’s DNNP</w:t>
            </w:r>
            <w:r w:rsidRPr="00097041">
              <w:rPr>
                <w:rFonts w:ascii="Segoe UI" w:eastAsia="Times New Roman" w:hAnsi="Segoe UI" w:cs="Segoe UI"/>
                <w:b w:val="0"/>
                <w:bCs w:val="0"/>
                <w:sz w:val="24"/>
                <w:szCs w:val="24"/>
              </w:rPr>
              <w:t xml:space="preserve"> Hearing #1</w:t>
            </w:r>
          </w:p>
        </w:tc>
        <w:tc>
          <w:tcPr>
            <w:tcW w:w="2785" w:type="dxa"/>
          </w:tcPr>
          <w:p w14:paraId="2CFC5961" w14:textId="4FD17ADB" w:rsidR="007C67E0" w:rsidRDefault="007C67E0" w:rsidP="00B65F0A">
            <w:pPr>
              <w:spacing w:before="16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4"/>
                <w:szCs w:val="24"/>
              </w:rPr>
            </w:pPr>
            <w:r>
              <w:rPr>
                <w:rFonts w:ascii="Segoe UI" w:eastAsia="Times New Roman" w:hAnsi="Segoe UI" w:cs="Segoe UI"/>
                <w:sz w:val="24"/>
                <w:szCs w:val="24"/>
              </w:rPr>
              <w:t>Week of January 22</w:t>
            </w:r>
            <w:r w:rsidRPr="00097041">
              <w:rPr>
                <w:rFonts w:ascii="Segoe UI" w:eastAsia="Times New Roman" w:hAnsi="Segoe UI" w:cs="Segoe UI"/>
                <w:sz w:val="24"/>
                <w:szCs w:val="24"/>
                <w:vertAlign w:val="superscript"/>
              </w:rPr>
              <w:t>nd</w:t>
            </w:r>
            <w:r>
              <w:rPr>
                <w:rFonts w:ascii="Segoe UI" w:eastAsia="Times New Roman" w:hAnsi="Segoe UI" w:cs="Segoe UI"/>
                <w:sz w:val="24"/>
                <w:szCs w:val="24"/>
              </w:rPr>
              <w:t>, 2024</w:t>
            </w:r>
          </w:p>
        </w:tc>
      </w:tr>
      <w:tr w:rsidR="007C67E0" w14:paraId="05BBE8A4" w14:textId="77777777" w:rsidTr="00B65F0A">
        <w:tc>
          <w:tcPr>
            <w:cnfStyle w:val="001000000000" w:firstRow="0" w:lastRow="0" w:firstColumn="1" w:lastColumn="0" w:oddVBand="0" w:evenVBand="0" w:oddHBand="0" w:evenHBand="0" w:firstRowFirstColumn="0" w:firstRowLastColumn="0" w:lastRowFirstColumn="0" w:lastRowLastColumn="0"/>
            <w:tcW w:w="6565" w:type="dxa"/>
          </w:tcPr>
          <w:p w14:paraId="0AEAB02F" w14:textId="1DB96009" w:rsidR="007C67E0" w:rsidRPr="0084262E" w:rsidRDefault="007C67E0" w:rsidP="0084262E">
            <w:pPr>
              <w:jc w:val="both"/>
              <w:rPr>
                <w:rFonts w:ascii="Segoe UI" w:eastAsia="Times New Roman" w:hAnsi="Segoe UI" w:cs="Segoe UI"/>
                <w:b w:val="0"/>
                <w:bCs w:val="0"/>
                <w:sz w:val="24"/>
                <w:szCs w:val="24"/>
              </w:rPr>
            </w:pPr>
            <w:r w:rsidRPr="00045475">
              <w:rPr>
                <w:rFonts w:ascii="Segoe UI" w:eastAsia="Times New Roman" w:hAnsi="Segoe UI" w:cs="Segoe UI"/>
                <w:b w:val="0"/>
                <w:bCs w:val="0"/>
                <w:sz w:val="24"/>
                <w:szCs w:val="24"/>
              </w:rPr>
              <w:t xml:space="preserve">Public webinar or workshop: Update on </w:t>
            </w:r>
            <w:r>
              <w:rPr>
                <w:rFonts w:ascii="Segoe UI" w:eastAsia="Times New Roman" w:hAnsi="Segoe UI" w:cs="Segoe UI"/>
                <w:b w:val="0"/>
                <w:bCs w:val="0"/>
                <w:sz w:val="24"/>
                <w:szCs w:val="24"/>
              </w:rPr>
              <w:t>DNNP and H</w:t>
            </w:r>
            <w:r w:rsidRPr="00045475">
              <w:rPr>
                <w:rFonts w:ascii="Segoe UI" w:eastAsia="Times New Roman" w:hAnsi="Segoe UI" w:cs="Segoe UI"/>
                <w:b w:val="0"/>
                <w:bCs w:val="0"/>
                <w:sz w:val="24"/>
                <w:szCs w:val="24"/>
              </w:rPr>
              <w:t>earing #2</w:t>
            </w:r>
          </w:p>
        </w:tc>
        <w:tc>
          <w:tcPr>
            <w:tcW w:w="2785" w:type="dxa"/>
          </w:tcPr>
          <w:p w14:paraId="6875AEB3" w14:textId="596C568E" w:rsidR="007C67E0" w:rsidRDefault="007C67E0" w:rsidP="00B65F0A">
            <w:pPr>
              <w:spacing w:before="16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4"/>
                <w:szCs w:val="24"/>
              </w:rPr>
            </w:pPr>
            <w:r w:rsidRPr="00804EEC">
              <w:rPr>
                <w:rFonts w:ascii="Segoe UI" w:eastAsia="Times New Roman" w:hAnsi="Segoe UI" w:cs="Segoe UI"/>
                <w:sz w:val="24"/>
                <w:szCs w:val="24"/>
              </w:rPr>
              <w:t xml:space="preserve">May/June 2024. This event is </w:t>
            </w:r>
            <w:r w:rsidRPr="00804EEC">
              <w:rPr>
                <w:rFonts w:ascii="Segoe UI" w:hAnsi="Segoe UI" w:cs="Segoe UI"/>
                <w:sz w:val="24"/>
                <w:szCs w:val="24"/>
                <w:lang w:val="en-US"/>
              </w:rPr>
              <w:t>tentative and will be dependent on the Commission’s decision on Hearing #1.</w:t>
            </w:r>
          </w:p>
        </w:tc>
      </w:tr>
      <w:tr w:rsidR="007C67E0" w14:paraId="1F04398D" w14:textId="77777777" w:rsidTr="00B65F0A">
        <w:trPr>
          <w:trHeight w:val="1007"/>
        </w:trPr>
        <w:tc>
          <w:tcPr>
            <w:cnfStyle w:val="001000000000" w:firstRow="0" w:lastRow="0" w:firstColumn="1" w:lastColumn="0" w:oddVBand="0" w:evenVBand="0" w:oddHBand="0" w:evenHBand="0" w:firstRowFirstColumn="0" w:firstRowLastColumn="0" w:lastRowFirstColumn="0" w:lastRowLastColumn="0"/>
            <w:tcW w:w="6565" w:type="dxa"/>
          </w:tcPr>
          <w:p w14:paraId="14D8865D" w14:textId="64AB969C" w:rsidR="007C67E0" w:rsidRPr="0037380D" w:rsidRDefault="007C67E0" w:rsidP="00876D03">
            <w:pPr>
              <w:spacing w:before="160"/>
              <w:jc w:val="both"/>
              <w:rPr>
                <w:rFonts w:ascii="Segoe UI" w:eastAsia="Times New Roman" w:hAnsi="Segoe UI" w:cs="Segoe UI"/>
                <w:b w:val="0"/>
                <w:bCs w:val="0"/>
                <w:sz w:val="24"/>
                <w:szCs w:val="24"/>
              </w:rPr>
            </w:pPr>
            <w:r w:rsidRPr="00B65F0A">
              <w:rPr>
                <w:rFonts w:ascii="Segoe UI" w:eastAsia="Times New Roman" w:hAnsi="Segoe UI" w:cs="Segoe UI"/>
                <w:b w:val="0"/>
                <w:bCs w:val="0"/>
                <w:sz w:val="24"/>
                <w:szCs w:val="24"/>
              </w:rPr>
              <w:t>Public webinar</w:t>
            </w:r>
            <w:r>
              <w:rPr>
                <w:rFonts w:ascii="Segoe UI" w:eastAsia="Times New Roman" w:hAnsi="Segoe UI" w:cs="Segoe UI"/>
                <w:b w:val="0"/>
                <w:bCs w:val="0"/>
                <w:sz w:val="24"/>
                <w:szCs w:val="24"/>
              </w:rPr>
              <w:t xml:space="preserve"> which will provide an update</w:t>
            </w:r>
            <w:r w:rsidRPr="00B65F0A">
              <w:rPr>
                <w:rFonts w:ascii="Segoe UI" w:eastAsia="Times New Roman" w:hAnsi="Segoe UI" w:cs="Segoe UI"/>
                <w:b w:val="0"/>
                <w:bCs w:val="0"/>
                <w:sz w:val="24"/>
                <w:szCs w:val="24"/>
              </w:rPr>
              <w:t xml:space="preserve"> on DNNP Hearing #2</w:t>
            </w:r>
          </w:p>
        </w:tc>
        <w:tc>
          <w:tcPr>
            <w:tcW w:w="2785" w:type="dxa"/>
          </w:tcPr>
          <w:p w14:paraId="51A76CC2" w14:textId="7E27DF8C" w:rsidR="007C67E0" w:rsidRDefault="007C67E0" w:rsidP="00B65F0A">
            <w:pPr>
              <w:spacing w:before="16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4"/>
                <w:szCs w:val="24"/>
              </w:rPr>
            </w:pPr>
            <w:r w:rsidRPr="006755DF">
              <w:rPr>
                <w:rFonts w:ascii="Segoe UI" w:eastAsia="Times New Roman" w:hAnsi="Segoe UI" w:cs="Segoe UI"/>
                <w:sz w:val="24"/>
                <w:szCs w:val="24"/>
              </w:rPr>
              <w:t>September</w:t>
            </w:r>
            <w:r>
              <w:rPr>
                <w:rFonts w:ascii="Segoe UI" w:eastAsia="Times New Roman" w:hAnsi="Segoe UI" w:cs="Segoe UI"/>
                <w:sz w:val="24"/>
                <w:szCs w:val="24"/>
              </w:rPr>
              <w:t xml:space="preserve"> 2024. </w:t>
            </w:r>
            <w:r w:rsidRPr="00804EEC">
              <w:rPr>
                <w:rFonts w:ascii="Segoe UI" w:eastAsia="Times New Roman" w:hAnsi="Segoe UI" w:cs="Segoe UI"/>
                <w:sz w:val="24"/>
                <w:szCs w:val="24"/>
              </w:rPr>
              <w:t xml:space="preserve">This event is </w:t>
            </w:r>
            <w:r w:rsidRPr="00804EEC">
              <w:rPr>
                <w:rFonts w:ascii="Segoe UI" w:hAnsi="Segoe UI" w:cs="Segoe UI"/>
                <w:sz w:val="24"/>
                <w:szCs w:val="24"/>
                <w:lang w:val="en-US"/>
              </w:rPr>
              <w:t>tentative and will be dependent on the Commission’s decision on Hearing #1.</w:t>
            </w:r>
          </w:p>
        </w:tc>
      </w:tr>
    </w:tbl>
    <w:p w14:paraId="5DC312C4" w14:textId="77777777" w:rsidR="007C67E0" w:rsidRDefault="007C67E0" w:rsidP="006755DF">
      <w:pPr>
        <w:jc w:val="both"/>
        <w:rPr>
          <w:rFonts w:ascii="Segoe UI" w:hAnsi="Segoe UI" w:cs="Segoe UI"/>
          <w:sz w:val="24"/>
          <w:szCs w:val="24"/>
          <w:lang w:val="en-US"/>
        </w:rPr>
      </w:pPr>
    </w:p>
    <w:p w14:paraId="6C98930A" w14:textId="5AB7F1C6" w:rsidR="00F812A5" w:rsidRDefault="00142957" w:rsidP="006755DF">
      <w:pPr>
        <w:jc w:val="both"/>
        <w:rPr>
          <w:rFonts w:ascii="Segoe UI" w:hAnsi="Segoe UI" w:cs="Segoe UI"/>
          <w:sz w:val="24"/>
          <w:szCs w:val="24"/>
          <w:lang w:val="en-US"/>
        </w:rPr>
      </w:pPr>
      <w:r w:rsidRPr="006755DF">
        <w:rPr>
          <w:rFonts w:ascii="Segoe UI" w:hAnsi="Segoe UI" w:cs="Segoe UI"/>
          <w:sz w:val="24"/>
          <w:szCs w:val="24"/>
          <w:lang w:val="en-US"/>
        </w:rPr>
        <w:t xml:space="preserve">Dates and events are subject to change to align with any changes in the DNNP </w:t>
      </w:r>
      <w:r w:rsidR="006755DF">
        <w:rPr>
          <w:rFonts w:ascii="Segoe UI" w:hAnsi="Segoe UI" w:cs="Segoe UI"/>
          <w:sz w:val="24"/>
          <w:szCs w:val="24"/>
          <w:lang w:val="en-US"/>
        </w:rPr>
        <w:t xml:space="preserve">schedule. </w:t>
      </w:r>
      <w:r w:rsidR="00F812A5" w:rsidRPr="00C54C0E">
        <w:rPr>
          <w:rFonts w:ascii="Segoe UI" w:hAnsi="Segoe UI" w:cs="Segoe UI"/>
          <w:sz w:val="24"/>
          <w:szCs w:val="24"/>
          <w:lang w:val="en-US"/>
        </w:rPr>
        <w:t xml:space="preserve">More information on the public hearings and participant funding for this project can be found in the </w:t>
      </w:r>
      <w:hyperlink r:id="rId12" w:history="1">
        <w:r w:rsidR="00F812A5" w:rsidRPr="00C54C0E">
          <w:rPr>
            <w:rStyle w:val="Hyperlink"/>
            <w:rFonts w:ascii="Segoe UI" w:hAnsi="Segoe UI" w:cs="Segoe UI"/>
            <w:sz w:val="24"/>
            <w:szCs w:val="24"/>
          </w:rPr>
          <w:t>Notice of Hearing</w:t>
        </w:r>
      </w:hyperlink>
      <w:r w:rsidR="00F812A5" w:rsidRPr="00C54C0E">
        <w:rPr>
          <w:rFonts w:ascii="Segoe UI" w:hAnsi="Segoe UI" w:cs="Segoe UI"/>
          <w:sz w:val="24"/>
          <w:szCs w:val="24"/>
          <w:lang w:val="en-US"/>
        </w:rPr>
        <w:t xml:space="preserve">, published on April 3, 2023. </w:t>
      </w:r>
    </w:p>
    <w:p w14:paraId="7ABCC0F6" w14:textId="2E0D83A3" w:rsidR="00F812A5" w:rsidRDefault="00F812A5" w:rsidP="00C54C0E">
      <w:pPr>
        <w:pStyle w:val="ListParagraph"/>
        <w:ind w:left="0"/>
        <w:rPr>
          <w:rFonts w:ascii="Segoe UI" w:hAnsi="Segoe UI" w:cs="Segoe UI"/>
          <w:sz w:val="24"/>
          <w:szCs w:val="24"/>
          <w:lang w:val="en-US"/>
        </w:rPr>
      </w:pPr>
    </w:p>
    <w:p w14:paraId="577FC254" w14:textId="5B4F009B" w:rsidR="009827E1" w:rsidRDefault="009827E1" w:rsidP="00C54C0E">
      <w:pPr>
        <w:pStyle w:val="ListParagraph"/>
        <w:ind w:left="0"/>
        <w:rPr>
          <w:rFonts w:ascii="Segoe UI" w:hAnsi="Segoe UI" w:cs="Segoe UI"/>
          <w:sz w:val="24"/>
          <w:szCs w:val="24"/>
          <w:lang w:val="en-US"/>
        </w:rPr>
      </w:pPr>
    </w:p>
    <w:p w14:paraId="00D73053" w14:textId="1FB3E13E" w:rsidR="009827E1" w:rsidRDefault="009827E1" w:rsidP="00C54C0E">
      <w:pPr>
        <w:pStyle w:val="ListParagraph"/>
        <w:ind w:left="0"/>
        <w:rPr>
          <w:rFonts w:ascii="Segoe UI" w:hAnsi="Segoe UI" w:cs="Segoe UI"/>
          <w:sz w:val="24"/>
          <w:szCs w:val="24"/>
          <w:lang w:val="en-US"/>
        </w:rPr>
      </w:pPr>
    </w:p>
    <w:p w14:paraId="52D4BA8C" w14:textId="46058173" w:rsidR="007C67E0" w:rsidRDefault="007C67E0" w:rsidP="00C54C0E">
      <w:pPr>
        <w:pStyle w:val="ListParagraph"/>
        <w:ind w:left="0"/>
        <w:rPr>
          <w:rFonts w:ascii="Segoe UI" w:hAnsi="Segoe UI" w:cs="Segoe UI"/>
          <w:sz w:val="24"/>
          <w:szCs w:val="24"/>
          <w:lang w:val="en-US"/>
        </w:rPr>
      </w:pPr>
    </w:p>
    <w:p w14:paraId="5C43E487" w14:textId="33A30162" w:rsidR="007C67E0" w:rsidRDefault="007C67E0" w:rsidP="00C54C0E">
      <w:pPr>
        <w:pStyle w:val="ListParagraph"/>
        <w:ind w:left="0"/>
        <w:rPr>
          <w:rFonts w:ascii="Segoe UI" w:hAnsi="Segoe UI" w:cs="Segoe UI"/>
          <w:sz w:val="24"/>
          <w:szCs w:val="24"/>
          <w:lang w:val="en-US"/>
        </w:rPr>
      </w:pPr>
    </w:p>
    <w:p w14:paraId="0F78ED7D" w14:textId="2D3B8291" w:rsidR="007C67E0" w:rsidRDefault="007C67E0" w:rsidP="00C54C0E">
      <w:pPr>
        <w:pStyle w:val="ListParagraph"/>
        <w:ind w:left="0"/>
        <w:rPr>
          <w:rFonts w:ascii="Segoe UI" w:hAnsi="Segoe UI" w:cs="Segoe UI"/>
          <w:sz w:val="24"/>
          <w:szCs w:val="24"/>
          <w:lang w:val="en-US"/>
        </w:rPr>
      </w:pPr>
    </w:p>
    <w:p w14:paraId="5F0CCA51" w14:textId="08BA76DF" w:rsidR="007C67E0" w:rsidRDefault="007C67E0" w:rsidP="00C54C0E">
      <w:pPr>
        <w:pStyle w:val="ListParagraph"/>
        <w:ind w:left="0"/>
        <w:rPr>
          <w:rFonts w:ascii="Segoe UI" w:hAnsi="Segoe UI" w:cs="Segoe UI"/>
          <w:sz w:val="24"/>
          <w:szCs w:val="24"/>
          <w:lang w:val="en-US"/>
        </w:rPr>
      </w:pPr>
    </w:p>
    <w:p w14:paraId="746EFCA2" w14:textId="60DED8D2" w:rsidR="007C67E0" w:rsidRDefault="007C67E0" w:rsidP="00C54C0E">
      <w:pPr>
        <w:pStyle w:val="ListParagraph"/>
        <w:ind w:left="0"/>
        <w:rPr>
          <w:rFonts w:ascii="Segoe UI" w:hAnsi="Segoe UI" w:cs="Segoe UI"/>
          <w:sz w:val="24"/>
          <w:szCs w:val="24"/>
          <w:lang w:val="en-US"/>
        </w:rPr>
      </w:pPr>
    </w:p>
    <w:p w14:paraId="6030E7CC" w14:textId="4F397272" w:rsidR="007C67E0" w:rsidRDefault="007C67E0" w:rsidP="00C54C0E">
      <w:pPr>
        <w:pStyle w:val="ListParagraph"/>
        <w:ind w:left="0"/>
        <w:rPr>
          <w:rFonts w:ascii="Segoe UI" w:hAnsi="Segoe UI" w:cs="Segoe UI"/>
          <w:sz w:val="24"/>
          <w:szCs w:val="24"/>
          <w:lang w:val="en-US"/>
        </w:rPr>
      </w:pPr>
    </w:p>
    <w:p w14:paraId="69E86A7C" w14:textId="77777777" w:rsidR="007C67E0" w:rsidRDefault="007C67E0" w:rsidP="00C54C0E">
      <w:pPr>
        <w:pStyle w:val="ListParagraph"/>
        <w:ind w:left="0"/>
        <w:rPr>
          <w:rFonts w:ascii="Segoe UI" w:hAnsi="Segoe UI" w:cs="Segoe UI"/>
          <w:sz w:val="24"/>
          <w:szCs w:val="24"/>
          <w:lang w:val="en-US"/>
        </w:rPr>
      </w:pPr>
    </w:p>
    <w:p w14:paraId="0658F39B" w14:textId="1D86280D" w:rsidR="009827E1" w:rsidRDefault="009827E1" w:rsidP="00C54C0E">
      <w:pPr>
        <w:pStyle w:val="ListParagraph"/>
        <w:ind w:left="0"/>
        <w:rPr>
          <w:rFonts w:ascii="Segoe UI" w:hAnsi="Segoe UI" w:cs="Segoe UI"/>
          <w:sz w:val="24"/>
          <w:szCs w:val="24"/>
          <w:lang w:val="en-US"/>
        </w:rPr>
      </w:pPr>
    </w:p>
    <w:p w14:paraId="3EBB2AAD" w14:textId="07CDA728" w:rsidR="009827E1" w:rsidRDefault="009827E1" w:rsidP="00C54C0E">
      <w:pPr>
        <w:pStyle w:val="ListParagraph"/>
        <w:ind w:left="0"/>
        <w:rPr>
          <w:rFonts w:ascii="Segoe UI" w:hAnsi="Segoe UI" w:cs="Segoe UI"/>
          <w:sz w:val="24"/>
          <w:szCs w:val="24"/>
          <w:lang w:val="en-US"/>
        </w:rPr>
      </w:pPr>
    </w:p>
    <w:p w14:paraId="77925B0E" w14:textId="44BC2AC3" w:rsidR="00E92B8A" w:rsidRDefault="00E92B8A" w:rsidP="00C54C0E">
      <w:pPr>
        <w:pStyle w:val="ListParagraph"/>
        <w:ind w:left="0"/>
        <w:rPr>
          <w:rFonts w:ascii="Segoe UI" w:hAnsi="Segoe UI" w:cs="Segoe UI"/>
          <w:sz w:val="24"/>
          <w:szCs w:val="24"/>
          <w:lang w:val="en-US"/>
        </w:rPr>
      </w:pPr>
    </w:p>
    <w:p w14:paraId="01C14C4B" w14:textId="77777777" w:rsidR="00E92B8A" w:rsidRDefault="00E92B8A" w:rsidP="00C54C0E">
      <w:pPr>
        <w:pStyle w:val="ListParagraph"/>
        <w:ind w:left="0"/>
        <w:rPr>
          <w:rFonts w:ascii="Segoe UI" w:hAnsi="Segoe UI" w:cs="Segoe UI"/>
          <w:sz w:val="24"/>
          <w:szCs w:val="24"/>
          <w:lang w:val="en-US"/>
        </w:rPr>
      </w:pPr>
    </w:p>
    <w:p w14:paraId="171400FF" w14:textId="3B2F62EB" w:rsidR="009827E1" w:rsidRDefault="009827E1" w:rsidP="00C54C0E">
      <w:pPr>
        <w:pStyle w:val="ListParagraph"/>
        <w:ind w:left="0"/>
        <w:rPr>
          <w:rFonts w:ascii="Segoe UI" w:hAnsi="Segoe UI" w:cs="Segoe UI"/>
          <w:b/>
          <w:bCs/>
          <w:sz w:val="24"/>
          <w:szCs w:val="24"/>
          <w:lang w:val="en-US"/>
        </w:rPr>
      </w:pPr>
      <w:r w:rsidRPr="009827E1">
        <w:rPr>
          <w:rFonts w:ascii="Segoe UI" w:hAnsi="Segoe UI" w:cs="Segoe UI"/>
          <w:b/>
          <w:bCs/>
          <w:sz w:val="24"/>
          <w:szCs w:val="24"/>
          <w:lang w:val="en-US"/>
        </w:rPr>
        <w:t xml:space="preserve">ANNEX A: </w:t>
      </w:r>
      <w:r w:rsidR="00D5268B">
        <w:rPr>
          <w:rFonts w:ascii="Segoe UI" w:hAnsi="Segoe UI" w:cs="Segoe UI"/>
          <w:b/>
          <w:bCs/>
          <w:sz w:val="24"/>
          <w:szCs w:val="24"/>
          <w:lang w:val="en-US"/>
        </w:rPr>
        <w:t>Commitments</w:t>
      </w:r>
    </w:p>
    <w:p w14:paraId="6F98775D" w14:textId="77777777" w:rsidR="00E92B8A" w:rsidRPr="000B7710" w:rsidRDefault="00E92B8A" w:rsidP="000B7710">
      <w:pPr>
        <w:spacing w:before="160" w:after="0" w:line="240" w:lineRule="auto"/>
        <w:jc w:val="both"/>
        <w:rPr>
          <w:rFonts w:ascii="Segoe UI" w:eastAsia="Times New Roman" w:hAnsi="Segoe UI" w:cs="Segoe UI"/>
          <w:sz w:val="24"/>
          <w:szCs w:val="24"/>
        </w:rPr>
      </w:pPr>
      <w:bookmarkStart w:id="0" w:name="_Ref138340775"/>
      <w:r w:rsidRPr="000B7710">
        <w:rPr>
          <w:rFonts w:ascii="Segoe UI" w:eastAsia="Times New Roman" w:hAnsi="Segoe UI" w:cs="Segoe UI"/>
          <w:sz w:val="24"/>
          <w:szCs w:val="24"/>
        </w:rPr>
        <w:t xml:space="preserve">Table </w:t>
      </w:r>
      <w:r w:rsidR="007C67E0" w:rsidRPr="000B7710">
        <w:rPr>
          <w:rFonts w:ascii="Segoe UI" w:eastAsia="Times New Roman" w:hAnsi="Segoe UI" w:cs="Segoe UI"/>
          <w:sz w:val="24"/>
          <w:szCs w:val="24"/>
        </w:rPr>
        <w:fldChar w:fldCharType="begin"/>
      </w:r>
      <w:r w:rsidR="007C67E0" w:rsidRPr="000B7710">
        <w:rPr>
          <w:rFonts w:ascii="Segoe UI" w:eastAsia="Times New Roman" w:hAnsi="Segoe UI" w:cs="Segoe UI"/>
          <w:sz w:val="24"/>
          <w:szCs w:val="24"/>
        </w:rPr>
        <w:instrText xml:space="preserve"> SEQ Table \* ARABIC </w:instrText>
      </w:r>
      <w:r w:rsidR="007C67E0" w:rsidRPr="000B7710">
        <w:rPr>
          <w:rFonts w:ascii="Segoe UI" w:eastAsia="Times New Roman" w:hAnsi="Segoe UI" w:cs="Segoe UI"/>
          <w:sz w:val="24"/>
          <w:szCs w:val="24"/>
        </w:rPr>
        <w:fldChar w:fldCharType="separate"/>
      </w:r>
      <w:r w:rsidRPr="000B7710">
        <w:rPr>
          <w:rFonts w:ascii="Segoe UI" w:eastAsia="Times New Roman" w:hAnsi="Segoe UI" w:cs="Segoe UI"/>
          <w:sz w:val="24"/>
          <w:szCs w:val="24"/>
        </w:rPr>
        <w:t>15</w:t>
      </w:r>
      <w:r w:rsidR="007C67E0" w:rsidRPr="000B7710">
        <w:rPr>
          <w:rFonts w:ascii="Segoe UI" w:eastAsia="Times New Roman" w:hAnsi="Segoe UI" w:cs="Segoe UI"/>
          <w:sz w:val="24"/>
          <w:szCs w:val="24"/>
        </w:rPr>
        <w:fldChar w:fldCharType="end"/>
      </w:r>
      <w:r w:rsidRPr="000B7710">
        <w:rPr>
          <w:rFonts w:ascii="Segoe UI" w:eastAsia="Times New Roman" w:hAnsi="Segoe UI" w:cs="Segoe UI"/>
          <w:sz w:val="24"/>
          <w:szCs w:val="24"/>
        </w:rPr>
        <w:t xml:space="preserve"> – Status of Joint Review Panel Recommendations</w:t>
      </w:r>
      <w:bookmarkEnd w:id="0"/>
    </w:p>
    <w:tbl>
      <w:tblPr>
        <w:tblStyle w:val="TableGrid"/>
        <w:tblW w:w="5000" w:type="pct"/>
        <w:tblLook w:val="04A0" w:firstRow="1" w:lastRow="0" w:firstColumn="1" w:lastColumn="0" w:noHBand="0" w:noVBand="1"/>
      </w:tblPr>
      <w:tblGrid>
        <w:gridCol w:w="435"/>
        <w:gridCol w:w="2050"/>
        <w:gridCol w:w="2225"/>
        <w:gridCol w:w="3197"/>
        <w:gridCol w:w="1443"/>
      </w:tblGrid>
      <w:tr w:rsidR="00E92B8A" w:rsidRPr="000B7710" w14:paraId="5581445B" w14:textId="77777777" w:rsidTr="000B7710">
        <w:trPr>
          <w:trHeight w:val="300"/>
          <w:tblHeader/>
        </w:trPr>
        <w:tc>
          <w:tcPr>
            <w:tcW w:w="301" w:type="pct"/>
            <w:shd w:val="clear" w:color="auto" w:fill="D9D9D9" w:themeFill="background1" w:themeFillShade="D9"/>
            <w:noWrap/>
            <w:hideMark/>
          </w:tcPr>
          <w:p w14:paraId="47282BBD" w14:textId="77777777" w:rsidR="00E92B8A" w:rsidRPr="000B7710" w:rsidRDefault="00E92B8A" w:rsidP="000B7710">
            <w:pPr>
              <w:spacing w:before="160"/>
              <w:jc w:val="both"/>
              <w:rPr>
                <w:rFonts w:ascii="Segoe UI" w:eastAsia="Times New Roman" w:hAnsi="Segoe UI" w:cs="Segoe UI"/>
                <w:b/>
                <w:bCs/>
                <w:sz w:val="24"/>
                <w:szCs w:val="24"/>
              </w:rPr>
            </w:pPr>
            <w:r w:rsidRPr="000B7710">
              <w:rPr>
                <w:rFonts w:ascii="Segoe UI" w:eastAsia="Times New Roman" w:hAnsi="Segoe UI" w:cs="Segoe UI"/>
                <w:b/>
                <w:bCs/>
                <w:sz w:val="24"/>
                <w:szCs w:val="24"/>
              </w:rPr>
              <w:t>#</w:t>
            </w:r>
          </w:p>
        </w:tc>
        <w:tc>
          <w:tcPr>
            <w:tcW w:w="1022" w:type="pct"/>
            <w:shd w:val="clear" w:color="auto" w:fill="D9D9D9" w:themeFill="background1" w:themeFillShade="D9"/>
            <w:hideMark/>
          </w:tcPr>
          <w:p w14:paraId="6B22D34A" w14:textId="77777777" w:rsidR="00E92B8A" w:rsidRPr="000B7710" w:rsidRDefault="00E92B8A" w:rsidP="000B7710">
            <w:pPr>
              <w:spacing w:before="160"/>
              <w:jc w:val="both"/>
              <w:rPr>
                <w:rFonts w:ascii="Segoe UI" w:eastAsia="Times New Roman" w:hAnsi="Segoe UI" w:cs="Segoe UI"/>
                <w:b/>
                <w:bCs/>
                <w:sz w:val="24"/>
                <w:szCs w:val="24"/>
              </w:rPr>
            </w:pPr>
            <w:r w:rsidRPr="000B7710">
              <w:rPr>
                <w:rFonts w:ascii="Segoe UI" w:eastAsia="Times New Roman" w:hAnsi="Segoe UI" w:cs="Segoe UI"/>
                <w:b/>
                <w:bCs/>
                <w:sz w:val="24"/>
                <w:szCs w:val="24"/>
              </w:rPr>
              <w:t>JRP Recommendation</w:t>
            </w:r>
          </w:p>
        </w:tc>
        <w:tc>
          <w:tcPr>
            <w:tcW w:w="1230" w:type="pct"/>
            <w:shd w:val="clear" w:color="auto" w:fill="D9D9D9" w:themeFill="background1" w:themeFillShade="D9"/>
            <w:hideMark/>
          </w:tcPr>
          <w:p w14:paraId="3210B1B9" w14:textId="77777777" w:rsidR="00E92B8A" w:rsidRPr="000B7710" w:rsidRDefault="00E92B8A" w:rsidP="000B7710">
            <w:pPr>
              <w:spacing w:before="160"/>
              <w:jc w:val="both"/>
              <w:rPr>
                <w:rFonts w:ascii="Segoe UI" w:eastAsia="Times New Roman" w:hAnsi="Segoe UI" w:cs="Segoe UI"/>
                <w:b/>
                <w:bCs/>
                <w:sz w:val="24"/>
                <w:szCs w:val="24"/>
              </w:rPr>
            </w:pPr>
            <w:r w:rsidRPr="000B7710">
              <w:rPr>
                <w:rFonts w:ascii="Segoe UI" w:eastAsia="Times New Roman" w:hAnsi="Segoe UI" w:cs="Segoe UI"/>
                <w:b/>
                <w:bCs/>
                <w:sz w:val="24"/>
                <w:szCs w:val="24"/>
              </w:rPr>
              <w:t>Government of Canada Response</w:t>
            </w:r>
          </w:p>
        </w:tc>
        <w:tc>
          <w:tcPr>
            <w:tcW w:w="1648" w:type="pct"/>
            <w:shd w:val="clear" w:color="auto" w:fill="D9D9D9" w:themeFill="background1" w:themeFillShade="D9"/>
            <w:noWrap/>
            <w:hideMark/>
          </w:tcPr>
          <w:p w14:paraId="457ED927" w14:textId="77777777" w:rsidR="00E92B8A" w:rsidRPr="000B7710" w:rsidRDefault="00E92B8A" w:rsidP="000B7710">
            <w:pPr>
              <w:spacing w:before="160"/>
              <w:jc w:val="both"/>
              <w:rPr>
                <w:rFonts w:ascii="Segoe UI" w:eastAsia="Times New Roman" w:hAnsi="Segoe UI" w:cs="Segoe UI"/>
                <w:b/>
                <w:bCs/>
                <w:sz w:val="24"/>
                <w:szCs w:val="24"/>
              </w:rPr>
            </w:pPr>
            <w:r w:rsidRPr="000B7710">
              <w:rPr>
                <w:rFonts w:ascii="Segoe UI" w:eastAsia="Times New Roman" w:hAnsi="Segoe UI" w:cs="Segoe UI"/>
                <w:b/>
                <w:bCs/>
                <w:sz w:val="24"/>
                <w:szCs w:val="24"/>
              </w:rPr>
              <w:t>OPG Commitment Reference</w:t>
            </w:r>
          </w:p>
        </w:tc>
        <w:tc>
          <w:tcPr>
            <w:tcW w:w="799" w:type="pct"/>
            <w:shd w:val="clear" w:color="auto" w:fill="D9D9D9" w:themeFill="background1" w:themeFillShade="D9"/>
            <w:noWrap/>
            <w:hideMark/>
          </w:tcPr>
          <w:p w14:paraId="2E5D89EE" w14:textId="77777777" w:rsidR="00E92B8A" w:rsidRPr="000B7710" w:rsidRDefault="00E92B8A" w:rsidP="000B7710">
            <w:pPr>
              <w:spacing w:before="160"/>
              <w:jc w:val="both"/>
              <w:rPr>
                <w:rFonts w:ascii="Segoe UI" w:eastAsia="Times New Roman" w:hAnsi="Segoe UI" w:cs="Segoe UI"/>
                <w:b/>
                <w:bCs/>
                <w:sz w:val="24"/>
                <w:szCs w:val="24"/>
              </w:rPr>
            </w:pPr>
            <w:r w:rsidRPr="000B7710">
              <w:rPr>
                <w:rFonts w:ascii="Segoe UI" w:eastAsia="Times New Roman" w:hAnsi="Segoe UI" w:cs="Segoe UI"/>
                <w:b/>
                <w:bCs/>
                <w:sz w:val="24"/>
                <w:szCs w:val="24"/>
              </w:rPr>
              <w:t>Status</w:t>
            </w:r>
          </w:p>
        </w:tc>
      </w:tr>
      <w:tr w:rsidR="00E92B8A" w:rsidRPr="000B7710" w14:paraId="46A93692" w14:textId="77777777" w:rsidTr="000B7710">
        <w:trPr>
          <w:trHeight w:val="1500"/>
        </w:trPr>
        <w:tc>
          <w:tcPr>
            <w:tcW w:w="301" w:type="pct"/>
            <w:noWrap/>
            <w:hideMark/>
          </w:tcPr>
          <w:p w14:paraId="5B28292E"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1</w:t>
            </w:r>
          </w:p>
        </w:tc>
        <w:tc>
          <w:tcPr>
            <w:tcW w:w="1022" w:type="pct"/>
            <w:hideMark/>
          </w:tcPr>
          <w:p w14:paraId="2EC0A68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understands that prior to construction, the Canadian Nuclear Safety Commission will determine whether this environmental assessment is applicable to the reactor technology selected by the Government of Ontario for the Project. Nevertheless, if the selected reactor technology is fundamentally different from the specific reactor technologies bounded by the Plant Parameter Envelope, the Panel recommends that a new environmental assessment be conducted.</w:t>
            </w:r>
          </w:p>
        </w:tc>
        <w:tc>
          <w:tcPr>
            <w:tcW w:w="1230" w:type="pct"/>
            <w:hideMark/>
          </w:tcPr>
          <w:p w14:paraId="2FC224B9" w14:textId="76E9C0C2"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the intent of this </w:t>
            </w:r>
            <w:r w:rsidR="007C67E0" w:rsidRPr="000B7710">
              <w:rPr>
                <w:rFonts w:ascii="Segoe UI" w:eastAsia="Times New Roman" w:hAnsi="Segoe UI" w:cs="Segoe UI"/>
                <w:sz w:val="24"/>
                <w:szCs w:val="24"/>
              </w:rPr>
              <w:t>recommendation but</w:t>
            </w:r>
            <w:r w:rsidRPr="000B7710">
              <w:rPr>
                <w:rFonts w:ascii="Segoe UI" w:eastAsia="Times New Roman" w:hAnsi="Segoe UI" w:cs="Segoe UI"/>
                <w:sz w:val="24"/>
                <w:szCs w:val="24"/>
              </w:rPr>
              <w:t xml:space="preserve"> acknowledges that any RA under the CEAA will need to determine whether the future proposal by the proponent is fundamentally different from the specific reactor technologies assessed by the JRP and if a new EA is required under the CEAA.</w:t>
            </w:r>
          </w:p>
        </w:tc>
        <w:tc>
          <w:tcPr>
            <w:tcW w:w="1648" w:type="pct"/>
            <w:noWrap/>
            <w:hideMark/>
          </w:tcPr>
          <w:p w14:paraId="46079B3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N/A</w:t>
            </w:r>
          </w:p>
        </w:tc>
        <w:tc>
          <w:tcPr>
            <w:tcW w:w="799" w:type="pct"/>
            <w:noWrap/>
            <w:hideMark/>
          </w:tcPr>
          <w:p w14:paraId="2CDA1D7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Initiated</w:t>
            </w:r>
          </w:p>
        </w:tc>
      </w:tr>
      <w:tr w:rsidR="00E92B8A" w:rsidRPr="000B7710" w14:paraId="6BA31EE9" w14:textId="77777777" w:rsidTr="000B7710">
        <w:trPr>
          <w:trHeight w:val="1800"/>
        </w:trPr>
        <w:tc>
          <w:tcPr>
            <w:tcW w:w="301" w:type="pct"/>
            <w:noWrap/>
            <w:hideMark/>
          </w:tcPr>
          <w:p w14:paraId="649F5EC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2</w:t>
            </w:r>
          </w:p>
        </w:tc>
        <w:tc>
          <w:tcPr>
            <w:tcW w:w="1022" w:type="pct"/>
            <w:hideMark/>
          </w:tcPr>
          <w:p w14:paraId="5104973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prior to site preparation, the Canadian Nuclear Safety Commission require OPG to conduct a comprehensive soils characterization program. In particular, the potentially impacted soils in the areas OPG identifies as the </w:t>
            </w:r>
            <w:proofErr w:type="gramStart"/>
            <w:r w:rsidRPr="000B7710">
              <w:rPr>
                <w:rFonts w:ascii="Segoe UI" w:eastAsia="Times New Roman" w:hAnsi="Segoe UI" w:cs="Segoe UI"/>
                <w:sz w:val="24"/>
                <w:szCs w:val="24"/>
              </w:rPr>
              <w:t>spoils</w:t>
            </w:r>
            <w:proofErr w:type="gramEnd"/>
            <w:r w:rsidRPr="000B7710">
              <w:rPr>
                <w:rFonts w:ascii="Segoe UI" w:eastAsia="Times New Roman" w:hAnsi="Segoe UI" w:cs="Segoe UI"/>
                <w:sz w:val="24"/>
                <w:szCs w:val="24"/>
              </w:rPr>
              <w:t xml:space="preserve"> disposal area, cement plant area and asphalt storage area must be sampled to identify the nature and extent of potential contamination.</w:t>
            </w:r>
          </w:p>
        </w:tc>
        <w:tc>
          <w:tcPr>
            <w:tcW w:w="1230" w:type="pct"/>
            <w:hideMark/>
          </w:tcPr>
          <w:p w14:paraId="38291FE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the recommendation to require OPG to conduct a comprehensive soils characterization program. The Government of Canada also notes that the recommended soils characterization program could also support future ecological risk assessment activities by OPG. Environment Canada can provide available scientific and technical expertise to the Canadian Nuclear Safety Commission, upon request, to assist in the implementation of this recommendation.</w:t>
            </w:r>
          </w:p>
        </w:tc>
        <w:tc>
          <w:tcPr>
            <w:tcW w:w="1648" w:type="pct"/>
            <w:noWrap/>
            <w:hideMark/>
          </w:tcPr>
          <w:p w14:paraId="1CB9800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D-P-3.6</w:t>
            </w:r>
          </w:p>
        </w:tc>
        <w:tc>
          <w:tcPr>
            <w:tcW w:w="799" w:type="pct"/>
            <w:noWrap/>
            <w:hideMark/>
          </w:tcPr>
          <w:p w14:paraId="1370DB8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74F1E106" w14:textId="77777777" w:rsidTr="000B7710">
        <w:trPr>
          <w:trHeight w:val="4200"/>
        </w:trPr>
        <w:tc>
          <w:tcPr>
            <w:tcW w:w="301" w:type="pct"/>
            <w:noWrap/>
            <w:hideMark/>
          </w:tcPr>
          <w:p w14:paraId="6BE5D26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3</w:t>
            </w:r>
          </w:p>
        </w:tc>
        <w:tc>
          <w:tcPr>
            <w:tcW w:w="1022" w:type="pct"/>
            <w:hideMark/>
          </w:tcPr>
          <w:p w14:paraId="6AC643C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the Canadian Nuclear Safety Commission require that as part of the Application for a Licence to Construct a reactor, OPG must undertake a formal quantitative cost-benefit analysis for cooling tower and once-through condenser cooling water systems, applying the principle of best available technology economically achievable. This analysis must </w:t>
            </w:r>
            <w:proofErr w:type="gramStart"/>
            <w:r w:rsidRPr="000B7710">
              <w:rPr>
                <w:rFonts w:ascii="Segoe UI" w:eastAsia="Times New Roman" w:hAnsi="Segoe UI" w:cs="Segoe UI"/>
                <w:sz w:val="24"/>
                <w:szCs w:val="24"/>
              </w:rPr>
              <w:t>take into account</w:t>
            </w:r>
            <w:proofErr w:type="gramEnd"/>
            <w:r w:rsidRPr="000B7710">
              <w:rPr>
                <w:rFonts w:ascii="Segoe UI" w:eastAsia="Times New Roman" w:hAnsi="Segoe UI" w:cs="Segoe UI"/>
                <w:sz w:val="24"/>
                <w:szCs w:val="24"/>
              </w:rPr>
              <w:t xml:space="preserve"> the fact that lake infill should not go beyond the two-metre depth contour and should include cooling tower plume abatement technology.</w:t>
            </w:r>
          </w:p>
        </w:tc>
        <w:tc>
          <w:tcPr>
            <w:tcW w:w="1230" w:type="pct"/>
            <w:hideMark/>
          </w:tcPr>
          <w:p w14:paraId="53236C08"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the intent of this recommendation to require OPG to conduct a formal quantitative cost-benefit analysis for cooling tower and once-through condenser cooling water systems, as recommended, but acknowledges that this analysis may be required earlier than indicated in the recommendation given the relationship between site layout and the choice of condenser cooling technology.</w:t>
            </w:r>
            <w:r w:rsidRPr="000B7710">
              <w:rPr>
                <w:rFonts w:ascii="Segoe UI" w:eastAsia="Times New Roman" w:hAnsi="Segoe UI" w:cs="Segoe UI"/>
                <w:sz w:val="24"/>
                <w:szCs w:val="24"/>
              </w:rPr>
              <w:br/>
              <w:t>Fisheries and Oceans Canada and Environment Canada can provide available scientific and technical expertise to the Canadian Nuclear Safety Commission, upon request, to assist in the implementation of this recommendation.</w:t>
            </w:r>
            <w:r w:rsidRPr="000B7710">
              <w:rPr>
                <w:rFonts w:ascii="Segoe UI" w:eastAsia="Times New Roman" w:hAnsi="Segoe UI" w:cs="Segoe UI"/>
                <w:sz w:val="24"/>
                <w:szCs w:val="24"/>
              </w:rPr>
              <w:br/>
              <w:t>The Government of Canada further acknowledges the connection of this Recommendation with Panel Recommendation #31 and as such notes that Fisheries and Oceans Canada will work with OPG to ensure through its regulatory process and conditions of authorization under the Fisheries Act that any Harmful Alteration, Disruption and Destruction (HADD) is limited to the 2 metre depth contour of Lake Ontario.</w:t>
            </w:r>
          </w:p>
        </w:tc>
        <w:tc>
          <w:tcPr>
            <w:tcW w:w="1648" w:type="pct"/>
            <w:noWrap/>
            <w:hideMark/>
          </w:tcPr>
          <w:p w14:paraId="10F44C0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D-C-1.1</w:t>
            </w:r>
          </w:p>
        </w:tc>
        <w:tc>
          <w:tcPr>
            <w:tcW w:w="799" w:type="pct"/>
            <w:noWrap/>
            <w:hideMark/>
          </w:tcPr>
          <w:p w14:paraId="0716135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Complete</w:t>
            </w:r>
          </w:p>
        </w:tc>
      </w:tr>
      <w:tr w:rsidR="00E92B8A" w:rsidRPr="000B7710" w14:paraId="53B87BED" w14:textId="77777777" w:rsidTr="000B7710">
        <w:trPr>
          <w:trHeight w:val="1200"/>
        </w:trPr>
        <w:tc>
          <w:tcPr>
            <w:tcW w:w="301" w:type="pct"/>
            <w:noWrap/>
            <w:hideMark/>
          </w:tcPr>
          <w:p w14:paraId="7E52A84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4</w:t>
            </w:r>
          </w:p>
        </w:tc>
        <w:tc>
          <w:tcPr>
            <w:tcW w:w="1022" w:type="pct"/>
            <w:hideMark/>
          </w:tcPr>
          <w:p w14:paraId="440D8FDE"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the Canadian Nuclear Safety Commission exercise regulatory oversight to ensure that OPG complies with all municipal and provincial requirements and standards over the life of the Project. This is of particular importance because the conclusions of the Panel </w:t>
            </w:r>
            <w:proofErr w:type="gramStart"/>
            <w:r w:rsidRPr="000B7710">
              <w:rPr>
                <w:rFonts w:ascii="Segoe UI" w:eastAsia="Times New Roman" w:hAnsi="Segoe UI" w:cs="Segoe UI"/>
                <w:sz w:val="24"/>
                <w:szCs w:val="24"/>
              </w:rPr>
              <w:t>are based on the assumption</w:t>
            </w:r>
            <w:proofErr w:type="gramEnd"/>
            <w:r w:rsidRPr="000B7710">
              <w:rPr>
                <w:rFonts w:ascii="Segoe UI" w:eastAsia="Times New Roman" w:hAnsi="Segoe UI" w:cs="Segoe UI"/>
                <w:sz w:val="24"/>
                <w:szCs w:val="24"/>
              </w:rPr>
              <w:t xml:space="preserve"> that OPG will follow applicable laws and regulations at all jurisdictional levels.</w:t>
            </w:r>
          </w:p>
        </w:tc>
        <w:tc>
          <w:tcPr>
            <w:tcW w:w="1230" w:type="pct"/>
            <w:hideMark/>
          </w:tcPr>
          <w:p w14:paraId="575511C9" w14:textId="6D74B9B4"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this recommendation, </w:t>
            </w:r>
            <w:r w:rsidR="009D7B56" w:rsidRPr="000B7710">
              <w:rPr>
                <w:rFonts w:ascii="Segoe UI" w:eastAsia="Times New Roman" w:hAnsi="Segoe UI" w:cs="Segoe UI"/>
                <w:sz w:val="24"/>
                <w:szCs w:val="24"/>
              </w:rPr>
              <w:t>however,</w:t>
            </w:r>
            <w:r w:rsidRPr="000B7710">
              <w:rPr>
                <w:rFonts w:ascii="Segoe UI" w:eastAsia="Times New Roman" w:hAnsi="Segoe UI" w:cs="Segoe UI"/>
                <w:sz w:val="24"/>
                <w:szCs w:val="24"/>
              </w:rPr>
              <w:t xml:space="preserve"> recognizes that it is the responsibility of provincial and municipal officials to ensure compliance with their own requirements and standards over the life of the Project.</w:t>
            </w:r>
          </w:p>
        </w:tc>
        <w:tc>
          <w:tcPr>
            <w:tcW w:w="1648" w:type="pct"/>
            <w:noWrap/>
            <w:hideMark/>
          </w:tcPr>
          <w:p w14:paraId="7598399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N/A</w:t>
            </w:r>
          </w:p>
        </w:tc>
        <w:tc>
          <w:tcPr>
            <w:tcW w:w="799" w:type="pct"/>
            <w:noWrap/>
            <w:hideMark/>
          </w:tcPr>
          <w:p w14:paraId="6BE5389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Complete</w:t>
            </w:r>
          </w:p>
        </w:tc>
      </w:tr>
      <w:tr w:rsidR="00E92B8A" w:rsidRPr="000B7710" w14:paraId="5B134BAC" w14:textId="77777777" w:rsidTr="000B7710">
        <w:trPr>
          <w:trHeight w:val="284"/>
        </w:trPr>
        <w:tc>
          <w:tcPr>
            <w:tcW w:w="301" w:type="pct"/>
            <w:vMerge w:val="restart"/>
            <w:noWrap/>
            <w:hideMark/>
          </w:tcPr>
          <w:p w14:paraId="67771E2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5</w:t>
            </w:r>
          </w:p>
        </w:tc>
        <w:tc>
          <w:tcPr>
            <w:tcW w:w="1022" w:type="pct"/>
            <w:vMerge w:val="restart"/>
            <w:hideMark/>
          </w:tcPr>
          <w:p w14:paraId="5FCD471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To avoid any unnecessary environmental damage to the bluff at Raby Head and fish habitat, the Panel recommends that no bluff removal or lake infill occur during the site preparation stage, unless a reactor technology has been selected and there is certainty that the Project will proceed.</w:t>
            </w:r>
          </w:p>
        </w:tc>
        <w:tc>
          <w:tcPr>
            <w:tcW w:w="1230" w:type="pct"/>
            <w:vMerge w:val="restart"/>
            <w:hideMark/>
          </w:tcPr>
          <w:p w14:paraId="612E082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avoid any unnecessary environmental damage to the bluff at Raby Head and fish habitat as recommended. Fisheries and Oceans Canada and Environment Canada can provide available scientific and technical expertise to the Canadian Nuclear Safety Commission, upon request, to assist in the implementation of this recommendation.</w:t>
            </w:r>
            <w:r w:rsidRPr="000B7710">
              <w:rPr>
                <w:rFonts w:ascii="Segoe UI" w:eastAsia="Times New Roman" w:hAnsi="Segoe UI" w:cs="Segoe UI"/>
                <w:sz w:val="24"/>
                <w:szCs w:val="24"/>
              </w:rPr>
              <w:br/>
              <w:t>The Government of Canada further notes that authorization under the Fisheries Act will be required prior to any lake infill taking place, and confirms that Fisheries and Oceans Canada will work with OPG to ensure that as a condition of that authorization, that no lake infill occurs unless there is certainty that the Project will proceed and appropriate mitigation measures and habitat compensation have been implemented.</w:t>
            </w:r>
          </w:p>
        </w:tc>
        <w:tc>
          <w:tcPr>
            <w:tcW w:w="1648" w:type="pct"/>
            <w:noWrap/>
            <w:hideMark/>
          </w:tcPr>
          <w:p w14:paraId="3DFC0AE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D-P-14.1</w:t>
            </w:r>
          </w:p>
        </w:tc>
        <w:tc>
          <w:tcPr>
            <w:tcW w:w="799" w:type="pct"/>
            <w:noWrap/>
            <w:hideMark/>
          </w:tcPr>
          <w:p w14:paraId="093BED82"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550D7AE6" w14:textId="77777777" w:rsidTr="000B7710">
        <w:trPr>
          <w:trHeight w:val="300"/>
        </w:trPr>
        <w:tc>
          <w:tcPr>
            <w:tcW w:w="301" w:type="pct"/>
            <w:vMerge/>
            <w:noWrap/>
            <w:hideMark/>
          </w:tcPr>
          <w:p w14:paraId="0E4AEF36"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6BC7A968"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65BADCDC"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4CB7DB48"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D-P-16.1</w:t>
            </w:r>
          </w:p>
        </w:tc>
        <w:tc>
          <w:tcPr>
            <w:tcW w:w="799" w:type="pct"/>
            <w:noWrap/>
            <w:hideMark/>
          </w:tcPr>
          <w:p w14:paraId="4464408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328F99AE" w14:textId="77777777" w:rsidTr="000B7710">
        <w:trPr>
          <w:trHeight w:val="300"/>
        </w:trPr>
        <w:tc>
          <w:tcPr>
            <w:tcW w:w="301" w:type="pct"/>
            <w:vMerge/>
            <w:noWrap/>
            <w:hideMark/>
          </w:tcPr>
          <w:p w14:paraId="0130B84E" w14:textId="77777777" w:rsidR="00E92B8A" w:rsidRPr="000B7710" w:rsidRDefault="00E92B8A" w:rsidP="000B7710">
            <w:pPr>
              <w:spacing w:before="160"/>
              <w:jc w:val="both"/>
              <w:rPr>
                <w:rFonts w:ascii="Segoe UI" w:eastAsia="Times New Roman" w:hAnsi="Segoe UI" w:cs="Segoe UI"/>
                <w:b/>
                <w:bCs/>
                <w:sz w:val="24"/>
                <w:szCs w:val="24"/>
              </w:rPr>
            </w:pPr>
          </w:p>
        </w:tc>
        <w:tc>
          <w:tcPr>
            <w:tcW w:w="1022" w:type="pct"/>
            <w:vMerge/>
            <w:hideMark/>
          </w:tcPr>
          <w:p w14:paraId="451B2748" w14:textId="77777777" w:rsidR="00E92B8A" w:rsidRPr="000B7710" w:rsidRDefault="00E92B8A" w:rsidP="000B7710">
            <w:pPr>
              <w:spacing w:before="160"/>
              <w:jc w:val="both"/>
              <w:rPr>
                <w:rFonts w:ascii="Segoe UI" w:eastAsia="Times New Roman" w:hAnsi="Segoe UI" w:cs="Segoe UI"/>
                <w:b/>
                <w:bCs/>
                <w:sz w:val="24"/>
                <w:szCs w:val="24"/>
              </w:rPr>
            </w:pPr>
          </w:p>
        </w:tc>
        <w:tc>
          <w:tcPr>
            <w:tcW w:w="1230" w:type="pct"/>
            <w:vMerge/>
            <w:hideMark/>
          </w:tcPr>
          <w:p w14:paraId="3DBECFAC" w14:textId="77777777" w:rsidR="00E92B8A" w:rsidRPr="000B7710" w:rsidRDefault="00E92B8A" w:rsidP="000B7710">
            <w:pPr>
              <w:spacing w:before="160"/>
              <w:jc w:val="both"/>
              <w:rPr>
                <w:rFonts w:ascii="Segoe UI" w:eastAsia="Times New Roman" w:hAnsi="Segoe UI" w:cs="Segoe UI"/>
                <w:b/>
                <w:bCs/>
                <w:sz w:val="24"/>
                <w:szCs w:val="24"/>
              </w:rPr>
            </w:pPr>
          </w:p>
        </w:tc>
        <w:tc>
          <w:tcPr>
            <w:tcW w:w="1648" w:type="pct"/>
            <w:noWrap/>
            <w:hideMark/>
          </w:tcPr>
          <w:p w14:paraId="5C31C89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D-P-3.8</w:t>
            </w:r>
          </w:p>
        </w:tc>
        <w:tc>
          <w:tcPr>
            <w:tcW w:w="799" w:type="pct"/>
            <w:noWrap/>
            <w:hideMark/>
          </w:tcPr>
          <w:p w14:paraId="7CE9DB5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6D71DC58" w14:textId="77777777" w:rsidTr="000B7710">
        <w:trPr>
          <w:trHeight w:val="2400"/>
        </w:trPr>
        <w:tc>
          <w:tcPr>
            <w:tcW w:w="301" w:type="pct"/>
            <w:noWrap/>
            <w:hideMark/>
          </w:tcPr>
          <w:p w14:paraId="4A07676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6</w:t>
            </w:r>
          </w:p>
        </w:tc>
        <w:tc>
          <w:tcPr>
            <w:tcW w:w="1022" w:type="pct"/>
            <w:hideMark/>
          </w:tcPr>
          <w:p w14:paraId="1915AC7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prior to site preparation, the Canadian Nuclear Safety Commission require OPG to update its preliminary decommissioning plan for site preparation in accordance with the requirements of Canadian Standards Association (CSA) Standard N294-09. The OPG preliminary decommissioning plan for site preparation must incorporate the rehabilitation of the site to reflect the existing biodiversity </w:t>
            </w:r>
            <w:proofErr w:type="gramStart"/>
            <w:r w:rsidRPr="000B7710">
              <w:rPr>
                <w:rFonts w:ascii="Segoe UI" w:eastAsia="Times New Roman" w:hAnsi="Segoe UI" w:cs="Segoe UI"/>
                <w:sz w:val="24"/>
                <w:szCs w:val="24"/>
              </w:rPr>
              <w:t>in the event that</w:t>
            </w:r>
            <w:proofErr w:type="gramEnd"/>
            <w:r w:rsidRPr="000B7710">
              <w:rPr>
                <w:rFonts w:ascii="Segoe UI" w:eastAsia="Times New Roman" w:hAnsi="Segoe UI" w:cs="Segoe UI"/>
                <w:sz w:val="24"/>
                <w:szCs w:val="24"/>
              </w:rPr>
              <w:t xml:space="preserve"> the Project does not proceed beyond the site preparation phase.</w:t>
            </w:r>
            <w:r w:rsidRPr="000B7710">
              <w:rPr>
                <w:rFonts w:ascii="Segoe UI" w:eastAsia="Times New Roman" w:hAnsi="Segoe UI" w:cs="Segoe UI"/>
                <w:sz w:val="24"/>
                <w:szCs w:val="24"/>
              </w:rPr>
              <w:br/>
              <w:t>OPG shall prepare a detailed preliminary decommissioning plan once a reactor technology is chosen, to be updated as required by the Canadian Nuclear Safety Commission.</w:t>
            </w:r>
          </w:p>
        </w:tc>
        <w:tc>
          <w:tcPr>
            <w:tcW w:w="1230" w:type="pct"/>
            <w:hideMark/>
          </w:tcPr>
          <w:p w14:paraId="6F85010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the intent of the recommendation to require OPG to maintain a preliminary decommissioning plan for site preparation in accordance with the requirements of CSA Standard N294-09, which provides direction on the decommissioning of licensed facilities and activities consistent with Canadian and international recommendations. The Government of Canada accepts the recommendation to require OPG to revise the preliminary decommissioning plan once a reactor technology is selected.</w:t>
            </w:r>
          </w:p>
        </w:tc>
        <w:tc>
          <w:tcPr>
            <w:tcW w:w="1648" w:type="pct"/>
            <w:noWrap/>
            <w:hideMark/>
          </w:tcPr>
          <w:p w14:paraId="5C8465A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D-P-13.1</w:t>
            </w:r>
          </w:p>
        </w:tc>
        <w:tc>
          <w:tcPr>
            <w:tcW w:w="799" w:type="pct"/>
            <w:noWrap/>
            <w:hideMark/>
          </w:tcPr>
          <w:p w14:paraId="5E3D36F2"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46A388A7" w14:textId="77777777" w:rsidTr="000B7710">
        <w:trPr>
          <w:trHeight w:val="1800"/>
        </w:trPr>
        <w:tc>
          <w:tcPr>
            <w:tcW w:w="301" w:type="pct"/>
            <w:noWrap/>
            <w:hideMark/>
          </w:tcPr>
          <w:p w14:paraId="441F148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7</w:t>
            </w:r>
          </w:p>
        </w:tc>
        <w:tc>
          <w:tcPr>
            <w:tcW w:w="1022" w:type="pct"/>
            <w:hideMark/>
          </w:tcPr>
          <w:p w14:paraId="776362E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prior to site preparation, the Canadian Nuclear Safety Commission require that OPG establish a decommissioning financial guarantee to be reviewed as required by the Canadian Nuclear Safety Commission. Regarding the decommissioning financial guarantee for the site preparation stage, the Panel recommends that this financial guarantee contain sufficient funds for the rehabilitation of the site in the event the Project does not proceed beyond the site preparation stage.</w:t>
            </w:r>
          </w:p>
        </w:tc>
        <w:tc>
          <w:tcPr>
            <w:tcW w:w="1230" w:type="pct"/>
            <w:hideMark/>
          </w:tcPr>
          <w:p w14:paraId="3AD6D672"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the intent of this recommendation to require OPG to establish a financial guarantee for the site preparation stage, however, notes that the financial guarantee must be sufficient to cover the cost of decommissioning work outlined in the preliminary decommissioning plan referenced in Recommendation #6.</w:t>
            </w:r>
          </w:p>
        </w:tc>
        <w:tc>
          <w:tcPr>
            <w:tcW w:w="1648" w:type="pct"/>
            <w:noWrap/>
            <w:hideMark/>
          </w:tcPr>
          <w:p w14:paraId="5EED9DA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D-P-13.2</w:t>
            </w:r>
          </w:p>
        </w:tc>
        <w:tc>
          <w:tcPr>
            <w:tcW w:w="799" w:type="pct"/>
            <w:noWrap/>
            <w:hideMark/>
          </w:tcPr>
          <w:p w14:paraId="5CC6832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7AD1DC5A" w14:textId="77777777" w:rsidTr="000B7710">
        <w:trPr>
          <w:trHeight w:val="64"/>
        </w:trPr>
        <w:tc>
          <w:tcPr>
            <w:tcW w:w="301" w:type="pct"/>
            <w:vMerge w:val="restart"/>
            <w:noWrap/>
            <w:hideMark/>
          </w:tcPr>
          <w:p w14:paraId="0ABE3BB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8</w:t>
            </w:r>
          </w:p>
        </w:tc>
        <w:tc>
          <w:tcPr>
            <w:tcW w:w="1022" w:type="pct"/>
            <w:vMerge w:val="restart"/>
            <w:hideMark/>
          </w:tcPr>
          <w:p w14:paraId="3F04EB0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prior to site preparation, the Canadian Nuclear Safety Commission require OPG to develop a follow-up and adaptive management program for air contaminants such as Acrolein, NO2, SO2, SPM, PM2.5 and PM10, to the satisfaction of the Canadian Nuclear Safety Commission, Health </w:t>
            </w:r>
            <w:proofErr w:type="gramStart"/>
            <w:r w:rsidRPr="000B7710">
              <w:rPr>
                <w:rFonts w:ascii="Segoe UI" w:eastAsia="Times New Roman" w:hAnsi="Segoe UI" w:cs="Segoe UI"/>
                <w:sz w:val="24"/>
                <w:szCs w:val="24"/>
              </w:rPr>
              <w:t>Canada</w:t>
            </w:r>
            <w:proofErr w:type="gramEnd"/>
            <w:r w:rsidRPr="000B7710">
              <w:rPr>
                <w:rFonts w:ascii="Segoe UI" w:eastAsia="Times New Roman" w:hAnsi="Segoe UI" w:cs="Segoe UI"/>
                <w:sz w:val="24"/>
                <w:szCs w:val="24"/>
              </w:rPr>
              <w:t xml:space="preserve"> and Environment Canada. Additionally, the Canadian Nuclear Safety Commission must require OPG to develop an action plan acceptable to Health Canada for days when there are air quality or smog alerts.</w:t>
            </w:r>
          </w:p>
        </w:tc>
        <w:tc>
          <w:tcPr>
            <w:tcW w:w="1230" w:type="pct"/>
            <w:vMerge w:val="restart"/>
            <w:hideMark/>
          </w:tcPr>
          <w:p w14:paraId="3AB8B9A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develop a follow-up and adaptive management program for air contaminants and a smog alert action plan. Health Canada and Environment Canada can provide available scientific and technical expertise to the Canadian Nuclear Safety Commission, to assist in the implementation of this recommendation.</w:t>
            </w:r>
          </w:p>
        </w:tc>
        <w:tc>
          <w:tcPr>
            <w:tcW w:w="1648" w:type="pct"/>
            <w:noWrap/>
            <w:hideMark/>
          </w:tcPr>
          <w:p w14:paraId="5BB6A37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D-P-12.2</w:t>
            </w:r>
          </w:p>
        </w:tc>
        <w:tc>
          <w:tcPr>
            <w:tcW w:w="799" w:type="pct"/>
            <w:noWrap/>
            <w:hideMark/>
          </w:tcPr>
          <w:p w14:paraId="08A9F2B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037A71A1" w14:textId="77777777" w:rsidTr="000B7710">
        <w:trPr>
          <w:trHeight w:val="300"/>
        </w:trPr>
        <w:tc>
          <w:tcPr>
            <w:tcW w:w="301" w:type="pct"/>
            <w:vMerge/>
            <w:noWrap/>
            <w:hideMark/>
          </w:tcPr>
          <w:p w14:paraId="5FFF6287"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6373BC5E"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6A0E4E7E"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41E62AA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D-P-3.10</w:t>
            </w:r>
          </w:p>
        </w:tc>
        <w:tc>
          <w:tcPr>
            <w:tcW w:w="799" w:type="pct"/>
            <w:noWrap/>
            <w:hideMark/>
          </w:tcPr>
          <w:p w14:paraId="35FE9A8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6A6120A3" w14:textId="77777777" w:rsidTr="000B7710">
        <w:trPr>
          <w:trHeight w:val="1800"/>
        </w:trPr>
        <w:tc>
          <w:tcPr>
            <w:tcW w:w="301" w:type="pct"/>
            <w:noWrap/>
            <w:hideMark/>
          </w:tcPr>
          <w:p w14:paraId="0B65DF6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9</w:t>
            </w:r>
          </w:p>
        </w:tc>
        <w:tc>
          <w:tcPr>
            <w:tcW w:w="1022" w:type="pct"/>
            <w:hideMark/>
          </w:tcPr>
          <w:p w14:paraId="5E37D81E"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the Canadian Nuclear Safety Commission, in collaboration with Health Canada, require OPG to develop and implement a detailed acoustic assessment for all scenarios evaluated. The predictions must be shared with potentially affected members of the public. The OPG Nuisance Effects Management Plan must include noise monitoring, a noise complaint response mechanism and best practices for activities that may occur outside of municipal noise curfew hours to reduce annoyance that the public may experience.</w:t>
            </w:r>
          </w:p>
        </w:tc>
        <w:tc>
          <w:tcPr>
            <w:tcW w:w="1230" w:type="pct"/>
            <w:hideMark/>
          </w:tcPr>
          <w:p w14:paraId="1F6ADA1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develop and implement a detailed acoustic assessment. Health Canada can provide available scientific and technical expertise to the Canadian Nuclear Safety Commission, to assist in the implementation of this recommendation.</w:t>
            </w:r>
          </w:p>
        </w:tc>
        <w:tc>
          <w:tcPr>
            <w:tcW w:w="1648" w:type="pct"/>
            <w:noWrap/>
            <w:hideMark/>
          </w:tcPr>
          <w:p w14:paraId="613E042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D-P-3.2</w:t>
            </w:r>
          </w:p>
        </w:tc>
        <w:tc>
          <w:tcPr>
            <w:tcW w:w="799" w:type="pct"/>
            <w:noWrap/>
            <w:hideMark/>
          </w:tcPr>
          <w:p w14:paraId="2332AE9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3E588314" w14:textId="77777777" w:rsidTr="000B7710">
        <w:trPr>
          <w:trHeight w:val="64"/>
        </w:trPr>
        <w:tc>
          <w:tcPr>
            <w:tcW w:w="301" w:type="pct"/>
            <w:vMerge w:val="restart"/>
            <w:noWrap/>
            <w:hideMark/>
          </w:tcPr>
          <w:p w14:paraId="2B2DED20"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10</w:t>
            </w:r>
          </w:p>
        </w:tc>
        <w:tc>
          <w:tcPr>
            <w:tcW w:w="1022" w:type="pct"/>
            <w:vMerge w:val="restart"/>
            <w:hideMark/>
          </w:tcPr>
          <w:p w14:paraId="1BEEAB4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the Canadian Nuclear Safety Commission require OPG to undertake a detailed site geotechnical investigation prior to commencing site preparation activities. The geologic elements of this investigation should include, but not be limited to:</w:t>
            </w:r>
          </w:p>
          <w:p w14:paraId="2E2DCE0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collection of site-wide information on soil physical properties; </w:t>
            </w:r>
          </w:p>
          <w:p w14:paraId="2E450F4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determining the mechanical and dynamic properties of overburden material across the site; </w:t>
            </w:r>
          </w:p>
          <w:p w14:paraId="2A68B80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mapping of geological structures to improve the understanding of the site geological structure model; </w:t>
            </w:r>
          </w:p>
          <w:p w14:paraId="0E68506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confirming the lack of karstic features in the local bedrock at the site; and </w:t>
            </w:r>
          </w:p>
          <w:p w14:paraId="52E0C51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confirming the conclusions reached concerning the liquefaction potential in underlying granular materials. </w:t>
            </w:r>
          </w:p>
        </w:tc>
        <w:tc>
          <w:tcPr>
            <w:tcW w:w="1230" w:type="pct"/>
            <w:vMerge w:val="restart"/>
            <w:hideMark/>
          </w:tcPr>
          <w:p w14:paraId="13F72A5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the intent of this recommendation to require OPG to undertake a detailed site geotechnical investigation, however, notes that this investigation may be performed concurrently with site preparation activities. Natural Resources Canada can provide available scientific and technical expertise to the Canadian Nuclear Safety Commission, upon request, to assist in the implementation of this recommendation.</w:t>
            </w:r>
          </w:p>
        </w:tc>
        <w:tc>
          <w:tcPr>
            <w:tcW w:w="1648" w:type="pct"/>
            <w:noWrap/>
            <w:hideMark/>
          </w:tcPr>
          <w:p w14:paraId="0C1F99D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D-P-9.1</w:t>
            </w:r>
          </w:p>
        </w:tc>
        <w:tc>
          <w:tcPr>
            <w:tcW w:w="799" w:type="pct"/>
            <w:noWrap/>
            <w:hideMark/>
          </w:tcPr>
          <w:p w14:paraId="335E290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34702FC4" w14:textId="77777777" w:rsidTr="000B7710">
        <w:trPr>
          <w:trHeight w:val="300"/>
        </w:trPr>
        <w:tc>
          <w:tcPr>
            <w:tcW w:w="301" w:type="pct"/>
            <w:vMerge/>
            <w:noWrap/>
            <w:hideMark/>
          </w:tcPr>
          <w:p w14:paraId="64A95D12"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50646E54"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37E970D8"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119AF0A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D-P-9.2</w:t>
            </w:r>
          </w:p>
        </w:tc>
        <w:tc>
          <w:tcPr>
            <w:tcW w:w="799" w:type="pct"/>
            <w:noWrap/>
            <w:hideMark/>
          </w:tcPr>
          <w:p w14:paraId="000E020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4F9146D3" w14:textId="77777777" w:rsidTr="000B7710">
        <w:trPr>
          <w:trHeight w:val="1200"/>
        </w:trPr>
        <w:tc>
          <w:tcPr>
            <w:tcW w:w="301" w:type="pct"/>
            <w:noWrap/>
            <w:hideMark/>
          </w:tcPr>
          <w:p w14:paraId="4EE543A7"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11</w:t>
            </w:r>
          </w:p>
        </w:tc>
        <w:tc>
          <w:tcPr>
            <w:tcW w:w="1022" w:type="pct"/>
            <w:hideMark/>
          </w:tcPr>
          <w:p w14:paraId="4C612FC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the Canadian Nuclear Safety Commission require OPG to develop and implement a follow-up program for soil quality during all stages of the Project.</w:t>
            </w:r>
          </w:p>
        </w:tc>
        <w:tc>
          <w:tcPr>
            <w:tcW w:w="1230" w:type="pct"/>
            <w:hideMark/>
          </w:tcPr>
          <w:p w14:paraId="47733538"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develop and implement a follow-up program for soil quality. Environment Canada can provide available scientific and technical expertise to the Canadian Nuclear Safety Commission, upon request, to assist in the implementation of this recommendation.</w:t>
            </w:r>
          </w:p>
        </w:tc>
        <w:tc>
          <w:tcPr>
            <w:tcW w:w="1648" w:type="pct"/>
            <w:noWrap/>
            <w:hideMark/>
          </w:tcPr>
          <w:p w14:paraId="29CD813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D-P-12.6</w:t>
            </w:r>
          </w:p>
        </w:tc>
        <w:tc>
          <w:tcPr>
            <w:tcW w:w="799" w:type="pct"/>
            <w:noWrap/>
            <w:hideMark/>
          </w:tcPr>
          <w:p w14:paraId="4BE29C4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15BAA587" w14:textId="77777777" w:rsidTr="000B7710">
        <w:trPr>
          <w:trHeight w:val="3000"/>
        </w:trPr>
        <w:tc>
          <w:tcPr>
            <w:tcW w:w="301" w:type="pct"/>
            <w:noWrap/>
            <w:hideMark/>
          </w:tcPr>
          <w:p w14:paraId="1356E4FF"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12</w:t>
            </w:r>
          </w:p>
        </w:tc>
        <w:tc>
          <w:tcPr>
            <w:tcW w:w="1022" w:type="pct"/>
            <w:hideMark/>
          </w:tcPr>
          <w:p w14:paraId="079BC40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before in-water works are initiated, the Canadian Nuclear Safety Commission require OPG to collect water and sediment quality data for any future embayment area that may be formed </w:t>
            </w:r>
            <w:proofErr w:type="gramStart"/>
            <w:r w:rsidRPr="000B7710">
              <w:rPr>
                <w:rFonts w:ascii="Segoe UI" w:eastAsia="Times New Roman" w:hAnsi="Segoe UI" w:cs="Segoe UI"/>
                <w:sz w:val="24"/>
                <w:szCs w:val="24"/>
              </w:rPr>
              <w:t>as a consequence of</w:t>
            </w:r>
            <w:proofErr w:type="gramEnd"/>
            <w:r w:rsidRPr="000B7710">
              <w:rPr>
                <w:rFonts w:ascii="Segoe UI" w:eastAsia="Times New Roman" w:hAnsi="Segoe UI" w:cs="Segoe UI"/>
                <w:sz w:val="24"/>
                <w:szCs w:val="24"/>
              </w:rPr>
              <w:t xml:space="preserve"> shoreline modifications in the vicinity of the outlet of Darlington Creek. This data should serve as the reference information for the proponent’s post-construction commitment to conduct water and sediment quality monitoring of the embayment area.</w:t>
            </w:r>
          </w:p>
        </w:tc>
        <w:tc>
          <w:tcPr>
            <w:tcW w:w="1230" w:type="pct"/>
            <w:hideMark/>
          </w:tcPr>
          <w:p w14:paraId="7DBC45F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collect water and sediment quality data for any future embayment area. Environment Canada and Fisheries and Oceans Canada can provide available scientific and technical expertise to the Canadian Nuclear Safety Commission, upon request, to assist in the implementation of this recommendation.</w:t>
            </w:r>
            <w:r w:rsidRPr="000B7710">
              <w:rPr>
                <w:rFonts w:ascii="Segoe UI" w:eastAsia="Times New Roman" w:hAnsi="Segoe UI" w:cs="Segoe UI"/>
                <w:sz w:val="24"/>
                <w:szCs w:val="24"/>
              </w:rPr>
              <w:br/>
              <w:t>The Government of Canada notes that authorization under the Fisheries Act will be required prior to in-water works. Prior to the issuance of an authorization, Fisheries and Oceans Canada will require a water and sediment quality monitoring program. This program is required to assess whether OPG continues to meet the intent of section 36 of the Fisheries Act.</w:t>
            </w:r>
          </w:p>
        </w:tc>
        <w:tc>
          <w:tcPr>
            <w:tcW w:w="1648" w:type="pct"/>
            <w:noWrap/>
            <w:hideMark/>
          </w:tcPr>
          <w:p w14:paraId="3AD5E802"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D-P-12.3</w:t>
            </w:r>
          </w:p>
        </w:tc>
        <w:tc>
          <w:tcPr>
            <w:tcW w:w="799" w:type="pct"/>
            <w:noWrap/>
            <w:hideMark/>
          </w:tcPr>
          <w:p w14:paraId="3B325A3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060A4338" w14:textId="77777777" w:rsidTr="000B7710">
        <w:trPr>
          <w:trHeight w:val="3600"/>
        </w:trPr>
        <w:tc>
          <w:tcPr>
            <w:tcW w:w="301" w:type="pct"/>
            <w:noWrap/>
            <w:hideMark/>
          </w:tcPr>
          <w:p w14:paraId="346CE776"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13</w:t>
            </w:r>
          </w:p>
        </w:tc>
        <w:tc>
          <w:tcPr>
            <w:tcW w:w="1022" w:type="pct"/>
            <w:hideMark/>
          </w:tcPr>
          <w:p w14:paraId="50F8754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the Canadian Nuclear Safety Commission require OPG to collect and assess water quality data for a comprehensive number of shoreline and offshore locations in the site study area prior to commencing in-water works. This data should be used to establish a reference for follow-up monitoring.</w:t>
            </w:r>
          </w:p>
        </w:tc>
        <w:tc>
          <w:tcPr>
            <w:tcW w:w="1230" w:type="pct"/>
            <w:hideMark/>
          </w:tcPr>
          <w:p w14:paraId="66B815B5" w14:textId="0B29F6EF"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the intent of this recommendation to require OPG to collect and assess water quality data for a comprehensive number of shoreline and offshore locations in the site study area prior to commencing in-water </w:t>
            </w:r>
            <w:r w:rsidR="009D7B56" w:rsidRPr="000B7710">
              <w:rPr>
                <w:rFonts w:ascii="Segoe UI" w:eastAsia="Times New Roman" w:hAnsi="Segoe UI" w:cs="Segoe UI"/>
                <w:sz w:val="24"/>
                <w:szCs w:val="24"/>
              </w:rPr>
              <w:t>works and</w:t>
            </w:r>
            <w:r w:rsidRPr="000B7710">
              <w:rPr>
                <w:rFonts w:ascii="Segoe UI" w:eastAsia="Times New Roman" w:hAnsi="Segoe UI" w:cs="Segoe UI"/>
                <w:sz w:val="24"/>
                <w:szCs w:val="24"/>
              </w:rPr>
              <w:t xml:space="preserve"> would further support the collection of sediment quality data as part of a comprehensive program. Environment Canada and Fisheries and Oceans Canada can provide available scientific and technical expertise to the Canadian Nuclear Safety Commission, upon request, to assist in the implementation of this recommendation.</w:t>
            </w:r>
            <w:r w:rsidRPr="000B7710">
              <w:rPr>
                <w:rFonts w:ascii="Segoe UI" w:eastAsia="Times New Roman" w:hAnsi="Segoe UI" w:cs="Segoe UI"/>
                <w:sz w:val="24"/>
                <w:szCs w:val="24"/>
              </w:rPr>
              <w:br/>
              <w:t>The Government of Canada notes that authorization under the Fisheries Act will be required prior to in-water works. Prior to the issuance of an authorization, Fisheries and Oceans Canada will require a water and sediment quality monitoring program. This program is required to assess whether OPG continues to meet the intent of section 36 of the Fisheries Act.</w:t>
            </w:r>
          </w:p>
        </w:tc>
        <w:tc>
          <w:tcPr>
            <w:tcW w:w="1648" w:type="pct"/>
            <w:noWrap/>
            <w:hideMark/>
          </w:tcPr>
          <w:p w14:paraId="3F25B6B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D-P-12.3</w:t>
            </w:r>
          </w:p>
        </w:tc>
        <w:tc>
          <w:tcPr>
            <w:tcW w:w="799" w:type="pct"/>
            <w:noWrap/>
            <w:hideMark/>
          </w:tcPr>
          <w:p w14:paraId="24DE7A6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360DDC34" w14:textId="77777777" w:rsidTr="000B7710">
        <w:trPr>
          <w:trHeight w:val="198"/>
        </w:trPr>
        <w:tc>
          <w:tcPr>
            <w:tcW w:w="301" w:type="pct"/>
            <w:vMerge w:val="restart"/>
            <w:noWrap/>
            <w:hideMark/>
          </w:tcPr>
          <w:p w14:paraId="52C17C9B"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14</w:t>
            </w:r>
          </w:p>
        </w:tc>
        <w:tc>
          <w:tcPr>
            <w:tcW w:w="1022" w:type="pct"/>
            <w:vMerge w:val="restart"/>
            <w:hideMark/>
          </w:tcPr>
          <w:p w14:paraId="63D6282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following the selection of a reactor technology for the Project, the Canadian Nuclear Safety Commission require OPG to conduct a detailed assessment of predicted effluent releases from the Project. The assessment should include but not be limited to effluent quantity, concentration, points of release and a description of effluent treatment, including demonstration that the chosen option has been designed to achieve best available treatment technology and techniques economically achievable. The Canadian Nuclear Safety Commission shall also require OPG to conduct a risk assessment on the proposed residual releases to determine whether additional mitigation measures may be necessary.</w:t>
            </w:r>
          </w:p>
        </w:tc>
        <w:tc>
          <w:tcPr>
            <w:tcW w:w="1230" w:type="pct"/>
            <w:vMerge w:val="restart"/>
            <w:hideMark/>
          </w:tcPr>
          <w:p w14:paraId="29CFB5A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conduct a detailed assessment of predicted effluent releases from the Project, as recommended. Environment Canada and Fisheries and Oceans Canada can provide available scientific and technical expertise to the Canadian Nuclear Safety Commission, upon request, to assist in the implementation of this recommendation.</w:t>
            </w:r>
          </w:p>
        </w:tc>
        <w:tc>
          <w:tcPr>
            <w:tcW w:w="1648" w:type="pct"/>
            <w:noWrap/>
            <w:hideMark/>
          </w:tcPr>
          <w:p w14:paraId="20781B0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D-C-2.1</w:t>
            </w:r>
          </w:p>
        </w:tc>
        <w:tc>
          <w:tcPr>
            <w:tcW w:w="799" w:type="pct"/>
            <w:noWrap/>
            <w:hideMark/>
          </w:tcPr>
          <w:p w14:paraId="3AB1120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3300C015" w14:textId="77777777" w:rsidTr="000B7710">
        <w:trPr>
          <w:trHeight w:val="300"/>
        </w:trPr>
        <w:tc>
          <w:tcPr>
            <w:tcW w:w="301" w:type="pct"/>
            <w:vMerge/>
            <w:noWrap/>
            <w:hideMark/>
          </w:tcPr>
          <w:p w14:paraId="4CC5972C"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53455C7C"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26F9D14C"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58DF18B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D-C-4.1</w:t>
            </w:r>
          </w:p>
        </w:tc>
        <w:tc>
          <w:tcPr>
            <w:tcW w:w="799" w:type="pct"/>
            <w:noWrap/>
            <w:hideMark/>
          </w:tcPr>
          <w:p w14:paraId="01C30E1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321206F2" w14:textId="77777777" w:rsidTr="000B7710">
        <w:trPr>
          <w:trHeight w:val="300"/>
        </w:trPr>
        <w:tc>
          <w:tcPr>
            <w:tcW w:w="301" w:type="pct"/>
            <w:vMerge/>
            <w:noWrap/>
            <w:hideMark/>
          </w:tcPr>
          <w:p w14:paraId="3ED5A7CB"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2592F023"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11133CF1"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2A15B54E"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D-P-12.9</w:t>
            </w:r>
          </w:p>
        </w:tc>
        <w:tc>
          <w:tcPr>
            <w:tcW w:w="799" w:type="pct"/>
            <w:noWrap/>
            <w:hideMark/>
          </w:tcPr>
          <w:p w14:paraId="1DD93D5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6B6E9486" w14:textId="77777777" w:rsidTr="000B7710">
        <w:trPr>
          <w:trHeight w:val="3000"/>
        </w:trPr>
        <w:tc>
          <w:tcPr>
            <w:tcW w:w="301" w:type="pct"/>
            <w:noWrap/>
            <w:hideMark/>
          </w:tcPr>
          <w:p w14:paraId="78A1466E"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15</w:t>
            </w:r>
          </w:p>
        </w:tc>
        <w:tc>
          <w:tcPr>
            <w:tcW w:w="1022" w:type="pct"/>
            <w:hideMark/>
          </w:tcPr>
          <w:p w14:paraId="5E17E5F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following the start of operation of the reactors, the Canadian Nuclear Safety Commission require OPG to conduct monitoring of ambient water and sediment quality in the receiving waters to ensure that effects from effluent discharges are consistent with predictions made in the environmental impact statement and with those made during the detailed design phase.</w:t>
            </w:r>
          </w:p>
        </w:tc>
        <w:tc>
          <w:tcPr>
            <w:tcW w:w="1230" w:type="pct"/>
            <w:hideMark/>
          </w:tcPr>
          <w:p w14:paraId="55DE263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conduct monitoring of ambient water and sediment quality in the receiving waters as recommended. Environment Canada and Fisheries and Oceans Canada can provide available scientific and technical expertise to the Canadian Nuclear Safety Commission, upon request, to assist in the implementation of this recommendation.</w:t>
            </w:r>
            <w:r w:rsidRPr="000B7710">
              <w:rPr>
                <w:rFonts w:ascii="Segoe UI" w:eastAsia="Times New Roman" w:hAnsi="Segoe UI" w:cs="Segoe UI"/>
                <w:sz w:val="24"/>
                <w:szCs w:val="24"/>
              </w:rPr>
              <w:br/>
              <w:t>The Government of Canada notes that authorization under the Fisheries Act will be required prior to in-water works. Prior to the issuance of an authorization, Fisheries and Oceans Canada will require a water and sediment quality monitoring program. This program is required to assess whether OPG continues to meet the intent of section 36 of the Fisheries Act.</w:t>
            </w:r>
          </w:p>
        </w:tc>
        <w:tc>
          <w:tcPr>
            <w:tcW w:w="1648" w:type="pct"/>
            <w:noWrap/>
            <w:hideMark/>
          </w:tcPr>
          <w:p w14:paraId="466E1FD8"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D-P-12.3</w:t>
            </w:r>
          </w:p>
        </w:tc>
        <w:tc>
          <w:tcPr>
            <w:tcW w:w="799" w:type="pct"/>
            <w:noWrap/>
            <w:hideMark/>
          </w:tcPr>
          <w:p w14:paraId="09C87CF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4DE95F90" w14:textId="77777777" w:rsidTr="000B7710">
        <w:trPr>
          <w:trHeight w:val="83"/>
        </w:trPr>
        <w:tc>
          <w:tcPr>
            <w:tcW w:w="301" w:type="pct"/>
            <w:vMerge w:val="restart"/>
            <w:noWrap/>
            <w:hideMark/>
          </w:tcPr>
          <w:p w14:paraId="0C44CA80"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16</w:t>
            </w:r>
          </w:p>
        </w:tc>
        <w:tc>
          <w:tcPr>
            <w:tcW w:w="1022" w:type="pct"/>
            <w:vMerge w:val="restart"/>
            <w:hideMark/>
          </w:tcPr>
          <w:p w14:paraId="461940AE"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prior to the start of construction, the Canadian Nuclear Safety Commission require the proponent to establish toxicity testing criteria and provide the test methodology and test frequency that will be used to confirm that stormwater discharges from the new nuclear site comply with requirements in the Fisheries Act.</w:t>
            </w:r>
          </w:p>
        </w:tc>
        <w:tc>
          <w:tcPr>
            <w:tcW w:w="1230" w:type="pct"/>
            <w:vMerge w:val="restart"/>
            <w:hideMark/>
          </w:tcPr>
          <w:p w14:paraId="51D3252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the intent of this recommendation to require the proponent to establish toxicity testing criteria and provide the test methodology and test frequency for stormwater. The Government of Canada would additionally support the application of this recommended testing for process effluents. Environment Canada can provide available scientific and technical expertise to the Canadian Nuclear Safety Commission, upon request, to assist in the implementation of this recommendation.</w:t>
            </w:r>
          </w:p>
        </w:tc>
        <w:tc>
          <w:tcPr>
            <w:tcW w:w="1648" w:type="pct"/>
            <w:noWrap/>
            <w:hideMark/>
          </w:tcPr>
          <w:p w14:paraId="2C464AF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D-C-2.1</w:t>
            </w:r>
          </w:p>
        </w:tc>
        <w:tc>
          <w:tcPr>
            <w:tcW w:w="799" w:type="pct"/>
            <w:noWrap/>
            <w:hideMark/>
          </w:tcPr>
          <w:p w14:paraId="1FB7169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6E232E1A" w14:textId="77777777" w:rsidTr="000B7710">
        <w:trPr>
          <w:trHeight w:val="300"/>
        </w:trPr>
        <w:tc>
          <w:tcPr>
            <w:tcW w:w="301" w:type="pct"/>
            <w:vMerge/>
            <w:noWrap/>
            <w:hideMark/>
          </w:tcPr>
          <w:p w14:paraId="0D03FB92"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6CD6C4DC"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064B2E4D"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0D3BF58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D-P-3.4</w:t>
            </w:r>
          </w:p>
        </w:tc>
        <w:tc>
          <w:tcPr>
            <w:tcW w:w="799" w:type="pct"/>
            <w:noWrap/>
            <w:hideMark/>
          </w:tcPr>
          <w:p w14:paraId="5047D0D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104C0A17" w14:textId="77777777" w:rsidTr="000B7710">
        <w:trPr>
          <w:trHeight w:val="345"/>
        </w:trPr>
        <w:tc>
          <w:tcPr>
            <w:tcW w:w="301" w:type="pct"/>
            <w:vMerge w:val="restart"/>
            <w:noWrap/>
            <w:hideMark/>
          </w:tcPr>
          <w:p w14:paraId="56AC9A86"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17</w:t>
            </w:r>
          </w:p>
        </w:tc>
        <w:tc>
          <w:tcPr>
            <w:tcW w:w="1022" w:type="pct"/>
            <w:vMerge w:val="restart"/>
            <w:hideMark/>
          </w:tcPr>
          <w:p w14:paraId="36B0E2E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the Canadian Nuclear Safety Commission require OPG to provide an assessment of the ingress and transport of contaminants in groundwater on site during successive phases of the Project as part of the Application for a Licence to Construct. This assessment shall include consideration of the impact of wet and dry deposition of all contaminants of potential concern and gaseous emissions on groundwater quality. OPG shall conduct enhanced groundwater and contaminant transport modelling for the assessment and expand the modelling to cover the effects of future dewatering and expansion activities at the St. </w:t>
            </w:r>
            <w:proofErr w:type="spellStart"/>
            <w:r w:rsidRPr="000B7710">
              <w:rPr>
                <w:rFonts w:ascii="Segoe UI" w:eastAsia="Times New Roman" w:hAnsi="Segoe UI" w:cs="Segoe UI"/>
                <w:sz w:val="24"/>
                <w:szCs w:val="24"/>
              </w:rPr>
              <w:t>Marys</w:t>
            </w:r>
            <w:proofErr w:type="spellEnd"/>
            <w:r w:rsidRPr="000B7710">
              <w:rPr>
                <w:rFonts w:ascii="Segoe UI" w:eastAsia="Times New Roman" w:hAnsi="Segoe UI" w:cs="Segoe UI"/>
                <w:sz w:val="24"/>
                <w:szCs w:val="24"/>
              </w:rPr>
              <w:t xml:space="preserve"> Cement quarry on the Project.</w:t>
            </w:r>
          </w:p>
        </w:tc>
        <w:tc>
          <w:tcPr>
            <w:tcW w:w="1230" w:type="pct"/>
            <w:vMerge w:val="restart"/>
            <w:hideMark/>
          </w:tcPr>
          <w:p w14:paraId="3AFE1BD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provide an assessment of the ingress and transport of contaminants in groundwater on site during successive phases of the Project as recommended. For clarity, the Government of Canada would support enhanced groundwater and contaminant transport modelling extending to appropriate model boundaries, which may not necessarily be site boundaries. Natural Resources Canada and Environment Canada can provide available scientific and technical expertise to the Canadian Nuclear Safety Commission, upon request, to assist in the implementation of this recommendation.</w:t>
            </w:r>
          </w:p>
        </w:tc>
        <w:tc>
          <w:tcPr>
            <w:tcW w:w="1648" w:type="pct"/>
            <w:noWrap/>
            <w:hideMark/>
          </w:tcPr>
          <w:p w14:paraId="417F42C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D-C-2.1</w:t>
            </w:r>
          </w:p>
        </w:tc>
        <w:tc>
          <w:tcPr>
            <w:tcW w:w="799" w:type="pct"/>
            <w:noWrap/>
            <w:hideMark/>
          </w:tcPr>
          <w:p w14:paraId="4A328CB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78B0C095" w14:textId="77777777" w:rsidTr="000B7710">
        <w:trPr>
          <w:trHeight w:val="300"/>
        </w:trPr>
        <w:tc>
          <w:tcPr>
            <w:tcW w:w="301" w:type="pct"/>
            <w:vMerge/>
            <w:noWrap/>
            <w:hideMark/>
          </w:tcPr>
          <w:p w14:paraId="502BD924"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3D360A2D"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5D3140DB"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4591E99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D-C-4.1</w:t>
            </w:r>
          </w:p>
        </w:tc>
        <w:tc>
          <w:tcPr>
            <w:tcW w:w="799" w:type="pct"/>
            <w:noWrap/>
            <w:hideMark/>
          </w:tcPr>
          <w:p w14:paraId="09BB7CD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352E546D" w14:textId="77777777" w:rsidTr="000B7710">
        <w:trPr>
          <w:trHeight w:val="244"/>
        </w:trPr>
        <w:tc>
          <w:tcPr>
            <w:tcW w:w="301" w:type="pct"/>
            <w:vMerge/>
            <w:noWrap/>
            <w:hideMark/>
          </w:tcPr>
          <w:p w14:paraId="2FD8FFBA"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32D7561E"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0A0F84AF"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1061E18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D-C-5.1</w:t>
            </w:r>
          </w:p>
        </w:tc>
        <w:tc>
          <w:tcPr>
            <w:tcW w:w="799" w:type="pct"/>
            <w:noWrap/>
            <w:hideMark/>
          </w:tcPr>
          <w:p w14:paraId="1614C09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342EA88A" w14:textId="77777777" w:rsidTr="000B7710">
        <w:trPr>
          <w:trHeight w:val="300"/>
        </w:trPr>
        <w:tc>
          <w:tcPr>
            <w:tcW w:w="301" w:type="pct"/>
            <w:vMerge/>
            <w:noWrap/>
            <w:hideMark/>
          </w:tcPr>
          <w:p w14:paraId="4D69AA12"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69AE5186"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5F7A6B7A"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767A137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D-C-6.1</w:t>
            </w:r>
          </w:p>
        </w:tc>
        <w:tc>
          <w:tcPr>
            <w:tcW w:w="799" w:type="pct"/>
            <w:noWrap/>
            <w:hideMark/>
          </w:tcPr>
          <w:p w14:paraId="4448B40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7201EE64" w14:textId="77777777" w:rsidTr="000B7710">
        <w:trPr>
          <w:trHeight w:val="300"/>
        </w:trPr>
        <w:tc>
          <w:tcPr>
            <w:tcW w:w="301" w:type="pct"/>
            <w:vMerge/>
            <w:noWrap/>
            <w:hideMark/>
          </w:tcPr>
          <w:p w14:paraId="7D047A9D"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2FE0D9FD"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6017899D"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0207298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D-P-12.6</w:t>
            </w:r>
          </w:p>
        </w:tc>
        <w:tc>
          <w:tcPr>
            <w:tcW w:w="799" w:type="pct"/>
            <w:noWrap/>
            <w:hideMark/>
          </w:tcPr>
          <w:p w14:paraId="67D1ADB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03C8CEAD" w14:textId="77777777" w:rsidTr="000B7710">
        <w:trPr>
          <w:trHeight w:val="1800"/>
        </w:trPr>
        <w:tc>
          <w:tcPr>
            <w:tcW w:w="301" w:type="pct"/>
            <w:noWrap/>
            <w:hideMark/>
          </w:tcPr>
          <w:p w14:paraId="4F2369EA"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18</w:t>
            </w:r>
          </w:p>
        </w:tc>
        <w:tc>
          <w:tcPr>
            <w:tcW w:w="1022" w:type="pct"/>
            <w:hideMark/>
          </w:tcPr>
          <w:p w14:paraId="1CA30BF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based on the groundwater and contaminant transport modelling results, the Canadian Nuclear Safety Commission require OPG to expand the Radiological Environmental Monitoring Program. This program shall include relevant residential and private groundwater well quality data in the local study area that are not captured by the current program, especially where the modelling results identify potential critical groups based on current or future potential use of groundwater.</w:t>
            </w:r>
          </w:p>
        </w:tc>
        <w:tc>
          <w:tcPr>
            <w:tcW w:w="1230" w:type="pct"/>
            <w:hideMark/>
          </w:tcPr>
          <w:p w14:paraId="360E503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update the Radiological Environmental Monitoring Program, based on the groundwater and contaminant transport modelling results. Natural Resources Canada and Environment Canada can provide available scientific and technical expertise to the Canadian Nuclear Safety Commission, upon request, to assist in the implementation of this recommendation.</w:t>
            </w:r>
          </w:p>
        </w:tc>
        <w:tc>
          <w:tcPr>
            <w:tcW w:w="1648" w:type="pct"/>
            <w:noWrap/>
            <w:hideMark/>
          </w:tcPr>
          <w:p w14:paraId="5E28B0F0" w14:textId="77777777" w:rsidR="00E92B8A" w:rsidRPr="000B7710" w:rsidRDefault="00E92B8A" w:rsidP="000B7710">
            <w:pPr>
              <w:spacing w:before="160"/>
              <w:jc w:val="both"/>
              <w:rPr>
                <w:rFonts w:ascii="Segoe UI" w:eastAsia="Times New Roman" w:hAnsi="Segoe UI" w:cs="Segoe UI"/>
                <w:b/>
                <w:bCs/>
                <w:sz w:val="24"/>
                <w:szCs w:val="24"/>
              </w:rPr>
            </w:pPr>
            <w:r w:rsidRPr="000B7710">
              <w:rPr>
                <w:rFonts w:ascii="Segoe UI" w:eastAsia="Times New Roman" w:hAnsi="Segoe UI" w:cs="Segoe UI"/>
                <w:b/>
                <w:bCs/>
                <w:sz w:val="24"/>
                <w:szCs w:val="24"/>
              </w:rPr>
              <w:t>D-C-6.1</w:t>
            </w:r>
          </w:p>
        </w:tc>
        <w:tc>
          <w:tcPr>
            <w:tcW w:w="799" w:type="pct"/>
            <w:noWrap/>
            <w:hideMark/>
          </w:tcPr>
          <w:p w14:paraId="5A18C84B" w14:textId="77777777" w:rsidR="00E92B8A" w:rsidRPr="000B7710" w:rsidRDefault="00E92B8A" w:rsidP="000B7710">
            <w:pPr>
              <w:spacing w:before="160"/>
              <w:jc w:val="both"/>
              <w:rPr>
                <w:rFonts w:ascii="Segoe UI" w:eastAsia="Times New Roman" w:hAnsi="Segoe UI" w:cs="Segoe UI"/>
                <w:b/>
                <w:bCs/>
                <w:sz w:val="24"/>
                <w:szCs w:val="24"/>
              </w:rPr>
            </w:pPr>
            <w:r w:rsidRPr="000B7710">
              <w:rPr>
                <w:rFonts w:ascii="Segoe UI" w:eastAsia="Times New Roman" w:hAnsi="Segoe UI" w:cs="Segoe UI"/>
                <w:b/>
                <w:bCs/>
                <w:sz w:val="24"/>
                <w:szCs w:val="24"/>
              </w:rPr>
              <w:t>Open</w:t>
            </w:r>
          </w:p>
        </w:tc>
      </w:tr>
      <w:tr w:rsidR="00E92B8A" w:rsidRPr="000B7710" w14:paraId="74FC9164" w14:textId="77777777" w:rsidTr="000B7710">
        <w:trPr>
          <w:trHeight w:val="2100"/>
        </w:trPr>
        <w:tc>
          <w:tcPr>
            <w:tcW w:w="301" w:type="pct"/>
            <w:noWrap/>
            <w:hideMark/>
          </w:tcPr>
          <w:p w14:paraId="49AD65C4"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19</w:t>
            </w:r>
          </w:p>
        </w:tc>
        <w:tc>
          <w:tcPr>
            <w:tcW w:w="1022" w:type="pct"/>
            <w:hideMark/>
          </w:tcPr>
          <w:p w14:paraId="1C25DC68"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the Canadian Nuclear Safety Commission require OPG to expand the scope of the groundwater monitoring program to monitor transitions in groundwater flows that may arise </w:t>
            </w:r>
            <w:proofErr w:type="gramStart"/>
            <w:r w:rsidRPr="000B7710">
              <w:rPr>
                <w:rFonts w:ascii="Segoe UI" w:eastAsia="Times New Roman" w:hAnsi="Segoe UI" w:cs="Segoe UI"/>
                <w:sz w:val="24"/>
                <w:szCs w:val="24"/>
              </w:rPr>
              <w:t>as a consequence of</w:t>
            </w:r>
            <w:proofErr w:type="gramEnd"/>
            <w:r w:rsidRPr="000B7710">
              <w:rPr>
                <w:rFonts w:ascii="Segoe UI" w:eastAsia="Times New Roman" w:hAnsi="Segoe UI" w:cs="Segoe UI"/>
                <w:sz w:val="24"/>
                <w:szCs w:val="24"/>
              </w:rPr>
              <w:t xml:space="preserve"> grade changes during the site preparation and construction phases of the Project. The design of the grade changes should guide the determination of the required monitoring locations, frequency of monitoring and the required duration of the program for the period of transition to stable conditions following the completion of construction and the initial period of operation.</w:t>
            </w:r>
          </w:p>
        </w:tc>
        <w:tc>
          <w:tcPr>
            <w:tcW w:w="1230" w:type="pct"/>
            <w:hideMark/>
          </w:tcPr>
          <w:p w14:paraId="7385513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this recommendation to require OPG to expand the scope of the groundwater monitoring program to monitor transitions in groundwater flows that may arise </w:t>
            </w:r>
            <w:proofErr w:type="gramStart"/>
            <w:r w:rsidRPr="000B7710">
              <w:rPr>
                <w:rFonts w:ascii="Segoe UI" w:eastAsia="Times New Roman" w:hAnsi="Segoe UI" w:cs="Segoe UI"/>
                <w:sz w:val="24"/>
                <w:szCs w:val="24"/>
              </w:rPr>
              <w:t>as a consequence of</w:t>
            </w:r>
            <w:proofErr w:type="gramEnd"/>
            <w:r w:rsidRPr="000B7710">
              <w:rPr>
                <w:rFonts w:ascii="Segoe UI" w:eastAsia="Times New Roman" w:hAnsi="Segoe UI" w:cs="Segoe UI"/>
                <w:sz w:val="24"/>
                <w:szCs w:val="24"/>
              </w:rPr>
              <w:t xml:space="preserve"> grade changes during the site preparation and construction phases of the Project. Natural Resources Canada can provide available scientific and technical expertise to the Canadian Nuclear Safety Commission, upon request, to assist in the implementation of this recommendation.</w:t>
            </w:r>
          </w:p>
        </w:tc>
        <w:tc>
          <w:tcPr>
            <w:tcW w:w="1648" w:type="pct"/>
            <w:noWrap/>
            <w:hideMark/>
          </w:tcPr>
          <w:p w14:paraId="5C89266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D-P-12.6</w:t>
            </w:r>
          </w:p>
        </w:tc>
        <w:tc>
          <w:tcPr>
            <w:tcW w:w="799" w:type="pct"/>
            <w:noWrap/>
            <w:hideMark/>
          </w:tcPr>
          <w:p w14:paraId="149360F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2C0FF786" w14:textId="77777777" w:rsidTr="000B7710">
        <w:trPr>
          <w:trHeight w:val="218"/>
        </w:trPr>
        <w:tc>
          <w:tcPr>
            <w:tcW w:w="301" w:type="pct"/>
            <w:vMerge w:val="restart"/>
            <w:noWrap/>
            <w:hideMark/>
          </w:tcPr>
          <w:p w14:paraId="18628E1C"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20</w:t>
            </w:r>
          </w:p>
        </w:tc>
        <w:tc>
          <w:tcPr>
            <w:tcW w:w="1022" w:type="pct"/>
            <w:vMerge w:val="restart"/>
            <w:hideMark/>
          </w:tcPr>
          <w:p w14:paraId="17F2877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the Canadian Nuclear Safety Commission require OPG to perform a thorough evaluation of site layout opportunities before site preparation activities begin, </w:t>
            </w:r>
            <w:proofErr w:type="gramStart"/>
            <w:r w:rsidRPr="000B7710">
              <w:rPr>
                <w:rFonts w:ascii="Segoe UI" w:eastAsia="Times New Roman" w:hAnsi="Segoe UI" w:cs="Segoe UI"/>
                <w:sz w:val="24"/>
                <w:szCs w:val="24"/>
              </w:rPr>
              <w:t>in order to</w:t>
            </w:r>
            <w:proofErr w:type="gramEnd"/>
            <w:r w:rsidRPr="000B7710">
              <w:rPr>
                <w:rFonts w:ascii="Segoe UI" w:eastAsia="Times New Roman" w:hAnsi="Segoe UI" w:cs="Segoe UI"/>
                <w:sz w:val="24"/>
                <w:szCs w:val="24"/>
              </w:rPr>
              <w:t xml:space="preserve"> minimize the overall effects on the terrestrial and aquatic environments and maximize the opportunity for quality terrestrial habitat rehabilitation.</w:t>
            </w:r>
          </w:p>
        </w:tc>
        <w:tc>
          <w:tcPr>
            <w:tcW w:w="1230" w:type="pct"/>
            <w:vMerge w:val="restart"/>
            <w:hideMark/>
          </w:tcPr>
          <w:p w14:paraId="4E448C8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perform a thorough evaluation of site layout opportunities before site preparation activities begin, as recommended. Environment Canada and Fisheries and Oceans Canada can provide available scientific and technical expertise to the Canadian Nuclear Safety Commission, upon request, to assist in the implementation of this recommendation.</w:t>
            </w:r>
            <w:r w:rsidRPr="000B7710">
              <w:rPr>
                <w:rFonts w:ascii="Segoe UI" w:eastAsia="Times New Roman" w:hAnsi="Segoe UI" w:cs="Segoe UI"/>
                <w:sz w:val="24"/>
                <w:szCs w:val="24"/>
              </w:rPr>
              <w:br/>
              <w:t>As part of the conditions of authorization under the Fisheries Act, Fisheries and Oceans Canada also commits to working with OPG to ensure overall impacts to aquatic habitat are minimized with appropriate mitigation and habitat compensation.</w:t>
            </w:r>
          </w:p>
        </w:tc>
        <w:tc>
          <w:tcPr>
            <w:tcW w:w="1648" w:type="pct"/>
            <w:noWrap/>
            <w:hideMark/>
          </w:tcPr>
          <w:p w14:paraId="36D08AE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D-P-14.1</w:t>
            </w:r>
          </w:p>
        </w:tc>
        <w:tc>
          <w:tcPr>
            <w:tcW w:w="799" w:type="pct"/>
            <w:noWrap/>
            <w:hideMark/>
          </w:tcPr>
          <w:p w14:paraId="796ED5E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6C903E18" w14:textId="77777777" w:rsidTr="000B7710">
        <w:trPr>
          <w:trHeight w:val="300"/>
        </w:trPr>
        <w:tc>
          <w:tcPr>
            <w:tcW w:w="301" w:type="pct"/>
            <w:vMerge/>
            <w:noWrap/>
            <w:hideMark/>
          </w:tcPr>
          <w:p w14:paraId="7B97A0F9"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030773BC"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4FEFAFC3"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3936BC1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D-P-3.7</w:t>
            </w:r>
          </w:p>
        </w:tc>
        <w:tc>
          <w:tcPr>
            <w:tcW w:w="799" w:type="pct"/>
            <w:noWrap/>
            <w:hideMark/>
          </w:tcPr>
          <w:p w14:paraId="03DA663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398C8ABD" w14:textId="77777777" w:rsidTr="000B7710">
        <w:trPr>
          <w:trHeight w:val="912"/>
        </w:trPr>
        <w:tc>
          <w:tcPr>
            <w:tcW w:w="301" w:type="pct"/>
            <w:noWrap/>
            <w:hideMark/>
          </w:tcPr>
          <w:p w14:paraId="74AB110E"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21</w:t>
            </w:r>
          </w:p>
        </w:tc>
        <w:tc>
          <w:tcPr>
            <w:tcW w:w="1022" w:type="pct"/>
            <w:hideMark/>
          </w:tcPr>
          <w:p w14:paraId="61BA4D7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the Canadian Nuclear Safety Commission require OPG to compensate for the loss of ponds, like-for-like, preferably in the site study area. The Panel also recommends that the Canadian Nuclear Safety Commission require OPG to use best management practices to prevent or minimize the potential runoff of sediment and other contaminants into wildlife habitat associated with Coot’s Pond during site preparation and construction phases.</w:t>
            </w:r>
          </w:p>
        </w:tc>
        <w:tc>
          <w:tcPr>
            <w:tcW w:w="1230" w:type="pct"/>
            <w:hideMark/>
          </w:tcPr>
          <w:p w14:paraId="433B4A37" w14:textId="5D9F7139"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the recommendation to require OPG to use best management practices to prevent or minimize the potential runoff of sediment and other contaminants. The Government of Canada accepts the intent of compensating for the loss of </w:t>
            </w:r>
            <w:r w:rsidR="009D7B56" w:rsidRPr="000B7710">
              <w:rPr>
                <w:rFonts w:ascii="Segoe UI" w:eastAsia="Times New Roman" w:hAnsi="Segoe UI" w:cs="Segoe UI"/>
                <w:sz w:val="24"/>
                <w:szCs w:val="24"/>
              </w:rPr>
              <w:t>ponds but</w:t>
            </w:r>
            <w:r w:rsidRPr="000B7710">
              <w:rPr>
                <w:rFonts w:ascii="Segoe UI" w:eastAsia="Times New Roman" w:hAnsi="Segoe UI" w:cs="Segoe UI"/>
                <w:sz w:val="24"/>
                <w:szCs w:val="24"/>
              </w:rPr>
              <w:t xml:space="preserve"> would also support the Canadian Nuclear Safety Commission requiring OPG to design compensation ponds that maximize ecological function, and not necessarily limited to “like-for-like”. Environment Canada can provide available scientific and technical expertise to the Canadian Nuclear Safety Commission, upon request, to assist in the implementation of this recommendation.</w:t>
            </w:r>
          </w:p>
        </w:tc>
        <w:tc>
          <w:tcPr>
            <w:tcW w:w="1648" w:type="pct"/>
            <w:noWrap/>
            <w:hideMark/>
          </w:tcPr>
          <w:p w14:paraId="549AF45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D-P-3.7</w:t>
            </w:r>
          </w:p>
        </w:tc>
        <w:tc>
          <w:tcPr>
            <w:tcW w:w="799" w:type="pct"/>
            <w:noWrap/>
            <w:hideMark/>
          </w:tcPr>
          <w:p w14:paraId="579CE86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2A18D404" w14:textId="77777777" w:rsidTr="000B7710">
        <w:trPr>
          <w:trHeight w:val="2100"/>
        </w:trPr>
        <w:tc>
          <w:tcPr>
            <w:tcW w:w="301" w:type="pct"/>
            <w:noWrap/>
            <w:hideMark/>
          </w:tcPr>
          <w:p w14:paraId="5FB34DE6"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22</w:t>
            </w:r>
          </w:p>
        </w:tc>
        <w:tc>
          <w:tcPr>
            <w:tcW w:w="1022" w:type="pct"/>
            <w:hideMark/>
          </w:tcPr>
          <w:p w14:paraId="7CC0573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the Canadian Nuclear Safety Commission require OPG to develop a follow-up program for insects, amphibians and reptiles, and mammal species and communities to ensure that proposed mitigation measures are effective.</w:t>
            </w:r>
          </w:p>
        </w:tc>
        <w:tc>
          <w:tcPr>
            <w:tcW w:w="1230" w:type="pct"/>
            <w:hideMark/>
          </w:tcPr>
          <w:p w14:paraId="79DE603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the intent of this recommendation to require OPG to develop a follow-up program for insects, amphibians and reptiles, and mammal species and communities as appropriate, and would support a focus for this follow-up program on species at risk and the use of this follow-up program to verify the conclusions of the Ecological Risk Assessment. Environment Canada can provide available scientific and technical expertise to the Canadian Nuclear Safety Commission, upon request, to assist in the implementation of this recommendation.</w:t>
            </w:r>
          </w:p>
        </w:tc>
        <w:tc>
          <w:tcPr>
            <w:tcW w:w="1648" w:type="pct"/>
            <w:noWrap/>
            <w:hideMark/>
          </w:tcPr>
          <w:p w14:paraId="631F428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D-P-12.5</w:t>
            </w:r>
          </w:p>
        </w:tc>
        <w:tc>
          <w:tcPr>
            <w:tcW w:w="799" w:type="pct"/>
            <w:noWrap/>
            <w:hideMark/>
          </w:tcPr>
          <w:p w14:paraId="41490A3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6E171DEC" w14:textId="77777777" w:rsidTr="000B7710">
        <w:trPr>
          <w:trHeight w:val="2700"/>
        </w:trPr>
        <w:tc>
          <w:tcPr>
            <w:tcW w:w="301" w:type="pct"/>
            <w:noWrap/>
            <w:hideMark/>
          </w:tcPr>
          <w:p w14:paraId="158A6B9B"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23</w:t>
            </w:r>
          </w:p>
        </w:tc>
        <w:tc>
          <w:tcPr>
            <w:tcW w:w="1022" w:type="pct"/>
            <w:hideMark/>
          </w:tcPr>
          <w:p w14:paraId="7A4EDE1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Environment Canada collaborate with OPG to develop and implement a follow-up program to confirm the effectiveness of OPG’s proposed mitigation measures for bird communities should </w:t>
            </w:r>
            <w:proofErr w:type="gramStart"/>
            <w:r w:rsidRPr="000B7710">
              <w:rPr>
                <w:rFonts w:ascii="Segoe UI" w:eastAsia="Times New Roman" w:hAnsi="Segoe UI" w:cs="Segoe UI"/>
                <w:sz w:val="24"/>
                <w:szCs w:val="24"/>
              </w:rPr>
              <w:t>natural</w:t>
            </w:r>
            <w:proofErr w:type="gramEnd"/>
            <w:r w:rsidRPr="000B7710">
              <w:rPr>
                <w:rFonts w:ascii="Segoe UI" w:eastAsia="Times New Roman" w:hAnsi="Segoe UI" w:cs="Segoe UI"/>
                <w:sz w:val="24"/>
                <w:szCs w:val="24"/>
              </w:rPr>
              <w:t xml:space="preserve"> draft cooling towers be chosen for the condenser cooling system.</w:t>
            </w:r>
          </w:p>
        </w:tc>
        <w:tc>
          <w:tcPr>
            <w:tcW w:w="1230" w:type="pct"/>
            <w:hideMark/>
          </w:tcPr>
          <w:p w14:paraId="3EAB0ED1" w14:textId="77539BFA"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the intent of this recommendation to collaborate with OPG to develop such a follow-up program for bird </w:t>
            </w:r>
            <w:r w:rsidR="009D7B56" w:rsidRPr="000B7710">
              <w:rPr>
                <w:rFonts w:ascii="Segoe UI" w:eastAsia="Times New Roman" w:hAnsi="Segoe UI" w:cs="Segoe UI"/>
                <w:sz w:val="24"/>
                <w:szCs w:val="24"/>
              </w:rPr>
              <w:t>communities and</w:t>
            </w:r>
            <w:r w:rsidRPr="000B7710">
              <w:rPr>
                <w:rFonts w:ascii="Segoe UI" w:eastAsia="Times New Roman" w:hAnsi="Segoe UI" w:cs="Segoe UI"/>
                <w:sz w:val="24"/>
                <w:szCs w:val="24"/>
              </w:rPr>
              <w:t xml:space="preserve"> would further support the consideration of potential impacts from habitat disturbance, as well as from bird collision impacts, in the scope of that program. The Government of Canada acknowledges that the Canadian Nuclear Safety Commission has the statutory authority and powers to ensure such a follow-up program is implemented through future licensing under the Nuclear Safety and Control Act. Environment Canada can provide available scientific and technical expertise to the Canadian Nuclear Safety Commission, upon request, to assist in the implementation of this recommendation.</w:t>
            </w:r>
          </w:p>
        </w:tc>
        <w:tc>
          <w:tcPr>
            <w:tcW w:w="1648" w:type="pct"/>
            <w:noWrap/>
            <w:hideMark/>
          </w:tcPr>
          <w:p w14:paraId="43644882"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D-P-12.5</w:t>
            </w:r>
          </w:p>
        </w:tc>
        <w:tc>
          <w:tcPr>
            <w:tcW w:w="799" w:type="pct"/>
            <w:noWrap/>
            <w:hideMark/>
          </w:tcPr>
          <w:p w14:paraId="793E823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606964C5" w14:textId="77777777" w:rsidTr="000B7710">
        <w:trPr>
          <w:trHeight w:val="3300"/>
        </w:trPr>
        <w:tc>
          <w:tcPr>
            <w:tcW w:w="301" w:type="pct"/>
            <w:noWrap/>
            <w:hideMark/>
          </w:tcPr>
          <w:p w14:paraId="07E3D6C2"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24</w:t>
            </w:r>
          </w:p>
        </w:tc>
        <w:tc>
          <w:tcPr>
            <w:tcW w:w="1022" w:type="pct"/>
            <w:hideMark/>
          </w:tcPr>
          <w:p w14:paraId="4AB272DE"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during the site preparation stage, Environment Canada shall ensure that OPG not undertake habitat destruction or disruption between the period of May 1 and July 31 of any year to minimize effects to breeding migratory birds.</w:t>
            </w:r>
          </w:p>
        </w:tc>
        <w:tc>
          <w:tcPr>
            <w:tcW w:w="1230" w:type="pct"/>
            <w:hideMark/>
          </w:tcPr>
          <w:p w14:paraId="3AED96C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the intent of this recommendation to avoid habitat destruction or disruption between the period of May 1 and July 31 of any year to protect most bird species’ nesting activities. However, Environment Canada does not have the ability to ensure that OPG conducts </w:t>
            </w:r>
            <w:proofErr w:type="gramStart"/>
            <w:r w:rsidRPr="000B7710">
              <w:rPr>
                <w:rFonts w:ascii="Segoe UI" w:eastAsia="Times New Roman" w:hAnsi="Segoe UI" w:cs="Segoe UI"/>
                <w:sz w:val="24"/>
                <w:szCs w:val="24"/>
              </w:rPr>
              <w:t>all of</w:t>
            </w:r>
            <w:proofErr w:type="gramEnd"/>
            <w:r w:rsidRPr="000B7710">
              <w:rPr>
                <w:rFonts w:ascii="Segoe UI" w:eastAsia="Times New Roman" w:hAnsi="Segoe UI" w:cs="Segoe UI"/>
                <w:sz w:val="24"/>
                <w:szCs w:val="24"/>
              </w:rPr>
              <w:t xml:space="preserve"> its land clearing activities when migratory bird nests are not active since the department does not have a regulatory permitting ability to bind the proponent. The Government of Canada acknowledges that the Canadian Nuclear Safety Commission has the statutory authority and powers to address this recommendation through future licensing under the Nuclear Safety and Control Act. Environment Canada can provide available scientific and technical expertise to the Canadian Nuclear Safety Commission, upon request, to assist in the implementation of this recommendation.</w:t>
            </w:r>
          </w:p>
        </w:tc>
        <w:tc>
          <w:tcPr>
            <w:tcW w:w="1648" w:type="pct"/>
            <w:noWrap/>
            <w:hideMark/>
          </w:tcPr>
          <w:p w14:paraId="47BEFC6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D-P-3.7</w:t>
            </w:r>
          </w:p>
        </w:tc>
        <w:tc>
          <w:tcPr>
            <w:tcW w:w="799" w:type="pct"/>
            <w:noWrap/>
            <w:hideMark/>
          </w:tcPr>
          <w:p w14:paraId="04E5012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4E40C084" w14:textId="77777777" w:rsidTr="000B7710">
        <w:trPr>
          <w:trHeight w:val="234"/>
        </w:trPr>
        <w:tc>
          <w:tcPr>
            <w:tcW w:w="301" w:type="pct"/>
            <w:vMerge w:val="restart"/>
            <w:noWrap/>
            <w:hideMark/>
          </w:tcPr>
          <w:p w14:paraId="464BB73A"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25</w:t>
            </w:r>
          </w:p>
        </w:tc>
        <w:tc>
          <w:tcPr>
            <w:tcW w:w="1022" w:type="pct"/>
            <w:vMerge w:val="restart"/>
            <w:hideMark/>
          </w:tcPr>
          <w:p w14:paraId="61C107D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the Canadian Nuclear Safety Commission require OPG to conduct more sampling to confirm the presence of Least Bittern before site preparation activities begin.</w:t>
            </w:r>
            <w:r w:rsidRPr="000B7710">
              <w:rPr>
                <w:rFonts w:ascii="Segoe UI" w:eastAsia="Times New Roman" w:hAnsi="Segoe UI" w:cs="Segoe UI"/>
                <w:sz w:val="24"/>
                <w:szCs w:val="24"/>
              </w:rPr>
              <w:br/>
              <w:t>The Panel recommends that the Canadian Nuclear Safety Commission require OPG to develop and implement a management plan for the species at risk that are known to occur on site. The plan should consider the resilience of some of the species and the possibility of off-site compensation.</w:t>
            </w:r>
          </w:p>
        </w:tc>
        <w:tc>
          <w:tcPr>
            <w:tcW w:w="1230" w:type="pct"/>
            <w:vMerge w:val="restart"/>
            <w:hideMark/>
          </w:tcPr>
          <w:p w14:paraId="455749F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conduct more sampling to confirm the presence of Least Bittern and to develop and implement a management plan for species at risk, as may be appropriate. Environment Canada can provide available scientific and technical expertise to the Canadian Nuclear Safety Commission, upon request, to assist in the implementation of this recommendation.</w:t>
            </w:r>
          </w:p>
        </w:tc>
        <w:tc>
          <w:tcPr>
            <w:tcW w:w="1648" w:type="pct"/>
            <w:noWrap/>
            <w:hideMark/>
          </w:tcPr>
          <w:p w14:paraId="40BCF6F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D-P-12.5</w:t>
            </w:r>
          </w:p>
        </w:tc>
        <w:tc>
          <w:tcPr>
            <w:tcW w:w="799" w:type="pct"/>
            <w:noWrap/>
            <w:hideMark/>
          </w:tcPr>
          <w:p w14:paraId="2C5B866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39F9EC90" w14:textId="77777777" w:rsidTr="000B7710">
        <w:trPr>
          <w:trHeight w:val="300"/>
        </w:trPr>
        <w:tc>
          <w:tcPr>
            <w:tcW w:w="301" w:type="pct"/>
            <w:vMerge/>
            <w:noWrap/>
            <w:hideMark/>
          </w:tcPr>
          <w:p w14:paraId="25265548"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4AA27004"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54B02085"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03DC6AB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D-P-3.7</w:t>
            </w:r>
          </w:p>
        </w:tc>
        <w:tc>
          <w:tcPr>
            <w:tcW w:w="799" w:type="pct"/>
            <w:noWrap/>
            <w:hideMark/>
          </w:tcPr>
          <w:p w14:paraId="39F653C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1DC88ADC" w14:textId="77777777" w:rsidTr="000B7710">
        <w:trPr>
          <w:trHeight w:val="345"/>
        </w:trPr>
        <w:tc>
          <w:tcPr>
            <w:tcW w:w="301" w:type="pct"/>
            <w:vMerge w:val="restart"/>
            <w:noWrap/>
            <w:hideMark/>
          </w:tcPr>
          <w:p w14:paraId="43F52B47"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26</w:t>
            </w:r>
          </w:p>
        </w:tc>
        <w:tc>
          <w:tcPr>
            <w:tcW w:w="1022" w:type="pct"/>
            <w:vMerge w:val="restart"/>
            <w:hideMark/>
          </w:tcPr>
          <w:p w14:paraId="2F8A09E7"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 xml:space="preserve">The Panel recommends that the Canadian Nuclear Safety Commission require OPG to develop a comprehensive assessment of hazardous substance releases and the required management practices for hazardous chemicals on site, in accordance with the Canadian Environmental Protection </w:t>
            </w:r>
            <w:proofErr w:type="gramStart"/>
            <w:r w:rsidRPr="000B7710">
              <w:rPr>
                <w:rFonts w:ascii="Segoe UI" w:eastAsia="Times New Roman" w:hAnsi="Segoe UI" w:cs="Segoe UI"/>
              </w:rPr>
              <w:t>Act, once</w:t>
            </w:r>
            <w:proofErr w:type="gramEnd"/>
            <w:r w:rsidRPr="000B7710">
              <w:rPr>
                <w:rFonts w:ascii="Segoe UI" w:eastAsia="Times New Roman" w:hAnsi="Segoe UI" w:cs="Segoe UI"/>
              </w:rPr>
              <w:t xml:space="preserve"> a reactor technology has been chosen.</w:t>
            </w:r>
          </w:p>
        </w:tc>
        <w:tc>
          <w:tcPr>
            <w:tcW w:w="1230" w:type="pct"/>
            <w:vMerge w:val="restart"/>
            <w:hideMark/>
          </w:tcPr>
          <w:p w14:paraId="5DAAA4DA"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The Government of Canada accepts this recommendation to require OPG to develop a comprehensive assessment of hazardous substance releases and the required management practices for hazardous chemicals on site once a reactor technology has been chosen. Environment Canada can provide available scientific and technical expertise to the Canadian Nuclear Safety Commission, upon request, to assist in the implementation of this recommendation.</w:t>
            </w:r>
          </w:p>
        </w:tc>
        <w:tc>
          <w:tcPr>
            <w:tcW w:w="1648" w:type="pct"/>
            <w:noWrap/>
            <w:hideMark/>
          </w:tcPr>
          <w:p w14:paraId="76833966"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D-C-2.1</w:t>
            </w:r>
          </w:p>
        </w:tc>
        <w:tc>
          <w:tcPr>
            <w:tcW w:w="799" w:type="pct"/>
            <w:noWrap/>
            <w:hideMark/>
          </w:tcPr>
          <w:p w14:paraId="233E0813"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Open</w:t>
            </w:r>
          </w:p>
        </w:tc>
      </w:tr>
      <w:tr w:rsidR="00E92B8A" w:rsidRPr="000B7710" w14:paraId="71AB640D" w14:textId="77777777" w:rsidTr="000B7710">
        <w:trPr>
          <w:trHeight w:val="300"/>
        </w:trPr>
        <w:tc>
          <w:tcPr>
            <w:tcW w:w="301" w:type="pct"/>
            <w:vMerge/>
            <w:noWrap/>
            <w:hideMark/>
          </w:tcPr>
          <w:p w14:paraId="3183D81D" w14:textId="77777777" w:rsidR="00E92B8A" w:rsidRPr="000B7710" w:rsidRDefault="00E92B8A" w:rsidP="000B7710">
            <w:pPr>
              <w:spacing w:before="160"/>
              <w:rPr>
                <w:rFonts w:ascii="Segoe UI" w:eastAsia="Times New Roman" w:hAnsi="Segoe UI" w:cs="Segoe UI"/>
              </w:rPr>
            </w:pPr>
          </w:p>
        </w:tc>
        <w:tc>
          <w:tcPr>
            <w:tcW w:w="1022" w:type="pct"/>
            <w:vMerge/>
            <w:hideMark/>
          </w:tcPr>
          <w:p w14:paraId="2A06A13C" w14:textId="77777777" w:rsidR="00E92B8A" w:rsidRPr="000B7710" w:rsidRDefault="00E92B8A" w:rsidP="000B7710">
            <w:pPr>
              <w:spacing w:before="160"/>
              <w:rPr>
                <w:rFonts w:ascii="Segoe UI" w:eastAsia="Times New Roman" w:hAnsi="Segoe UI" w:cs="Segoe UI"/>
              </w:rPr>
            </w:pPr>
          </w:p>
        </w:tc>
        <w:tc>
          <w:tcPr>
            <w:tcW w:w="1230" w:type="pct"/>
            <w:vMerge/>
            <w:hideMark/>
          </w:tcPr>
          <w:p w14:paraId="5B644653" w14:textId="77777777" w:rsidR="00E92B8A" w:rsidRPr="000B7710" w:rsidRDefault="00E92B8A" w:rsidP="000B7710">
            <w:pPr>
              <w:spacing w:before="160"/>
              <w:rPr>
                <w:rFonts w:ascii="Segoe UI" w:eastAsia="Times New Roman" w:hAnsi="Segoe UI" w:cs="Segoe UI"/>
              </w:rPr>
            </w:pPr>
          </w:p>
        </w:tc>
        <w:tc>
          <w:tcPr>
            <w:tcW w:w="1648" w:type="pct"/>
            <w:noWrap/>
            <w:hideMark/>
          </w:tcPr>
          <w:p w14:paraId="30EABB97"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D-C-5.1</w:t>
            </w:r>
          </w:p>
        </w:tc>
        <w:tc>
          <w:tcPr>
            <w:tcW w:w="799" w:type="pct"/>
            <w:noWrap/>
            <w:hideMark/>
          </w:tcPr>
          <w:p w14:paraId="382B56BD"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Open</w:t>
            </w:r>
          </w:p>
        </w:tc>
      </w:tr>
      <w:tr w:rsidR="00E92B8A" w:rsidRPr="000B7710" w14:paraId="079FE177" w14:textId="77777777" w:rsidTr="000B7710">
        <w:trPr>
          <w:trHeight w:val="300"/>
        </w:trPr>
        <w:tc>
          <w:tcPr>
            <w:tcW w:w="301" w:type="pct"/>
            <w:vMerge/>
            <w:noWrap/>
            <w:hideMark/>
          </w:tcPr>
          <w:p w14:paraId="572A4D4B" w14:textId="77777777" w:rsidR="00E92B8A" w:rsidRPr="000B7710" w:rsidRDefault="00E92B8A" w:rsidP="000B7710">
            <w:pPr>
              <w:spacing w:before="160"/>
              <w:rPr>
                <w:rFonts w:ascii="Segoe UI" w:eastAsia="Times New Roman" w:hAnsi="Segoe UI" w:cs="Segoe UI"/>
              </w:rPr>
            </w:pPr>
          </w:p>
        </w:tc>
        <w:tc>
          <w:tcPr>
            <w:tcW w:w="1022" w:type="pct"/>
            <w:vMerge/>
            <w:hideMark/>
          </w:tcPr>
          <w:p w14:paraId="0CE418C8" w14:textId="77777777" w:rsidR="00E92B8A" w:rsidRPr="000B7710" w:rsidRDefault="00E92B8A" w:rsidP="000B7710">
            <w:pPr>
              <w:spacing w:before="160"/>
              <w:rPr>
                <w:rFonts w:ascii="Segoe UI" w:eastAsia="Times New Roman" w:hAnsi="Segoe UI" w:cs="Segoe UI"/>
              </w:rPr>
            </w:pPr>
          </w:p>
        </w:tc>
        <w:tc>
          <w:tcPr>
            <w:tcW w:w="1230" w:type="pct"/>
            <w:vMerge/>
            <w:hideMark/>
          </w:tcPr>
          <w:p w14:paraId="25975EAA" w14:textId="77777777" w:rsidR="00E92B8A" w:rsidRPr="000B7710" w:rsidRDefault="00E92B8A" w:rsidP="000B7710">
            <w:pPr>
              <w:spacing w:before="160"/>
              <w:rPr>
                <w:rFonts w:ascii="Segoe UI" w:eastAsia="Times New Roman" w:hAnsi="Segoe UI" w:cs="Segoe UI"/>
              </w:rPr>
            </w:pPr>
          </w:p>
        </w:tc>
        <w:tc>
          <w:tcPr>
            <w:tcW w:w="1648" w:type="pct"/>
            <w:noWrap/>
            <w:hideMark/>
          </w:tcPr>
          <w:p w14:paraId="3B176777"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D-P-12.9</w:t>
            </w:r>
          </w:p>
        </w:tc>
        <w:tc>
          <w:tcPr>
            <w:tcW w:w="799" w:type="pct"/>
            <w:noWrap/>
            <w:hideMark/>
          </w:tcPr>
          <w:p w14:paraId="0BE9138E"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Open</w:t>
            </w:r>
          </w:p>
        </w:tc>
      </w:tr>
      <w:tr w:rsidR="00E92B8A" w:rsidRPr="000B7710" w14:paraId="2BC71A93" w14:textId="77777777" w:rsidTr="000B7710">
        <w:trPr>
          <w:trHeight w:val="300"/>
        </w:trPr>
        <w:tc>
          <w:tcPr>
            <w:tcW w:w="301" w:type="pct"/>
            <w:vMerge/>
            <w:noWrap/>
            <w:hideMark/>
          </w:tcPr>
          <w:p w14:paraId="1B995286" w14:textId="77777777" w:rsidR="00E92B8A" w:rsidRPr="000B7710" w:rsidRDefault="00E92B8A" w:rsidP="000B7710">
            <w:pPr>
              <w:spacing w:before="160"/>
              <w:rPr>
                <w:rFonts w:ascii="Segoe UI" w:eastAsia="Times New Roman" w:hAnsi="Segoe UI" w:cs="Segoe UI"/>
              </w:rPr>
            </w:pPr>
          </w:p>
        </w:tc>
        <w:tc>
          <w:tcPr>
            <w:tcW w:w="1022" w:type="pct"/>
            <w:vMerge/>
            <w:hideMark/>
          </w:tcPr>
          <w:p w14:paraId="63FF8C4F" w14:textId="77777777" w:rsidR="00E92B8A" w:rsidRPr="000B7710" w:rsidRDefault="00E92B8A" w:rsidP="000B7710">
            <w:pPr>
              <w:spacing w:before="160"/>
              <w:rPr>
                <w:rFonts w:ascii="Segoe UI" w:eastAsia="Times New Roman" w:hAnsi="Segoe UI" w:cs="Segoe UI"/>
              </w:rPr>
            </w:pPr>
          </w:p>
        </w:tc>
        <w:tc>
          <w:tcPr>
            <w:tcW w:w="1230" w:type="pct"/>
            <w:vMerge/>
            <w:hideMark/>
          </w:tcPr>
          <w:p w14:paraId="5DB6A44A" w14:textId="77777777" w:rsidR="00E92B8A" w:rsidRPr="000B7710" w:rsidRDefault="00E92B8A" w:rsidP="000B7710">
            <w:pPr>
              <w:spacing w:before="160"/>
              <w:rPr>
                <w:rFonts w:ascii="Segoe UI" w:eastAsia="Times New Roman" w:hAnsi="Segoe UI" w:cs="Segoe UI"/>
              </w:rPr>
            </w:pPr>
          </w:p>
        </w:tc>
        <w:tc>
          <w:tcPr>
            <w:tcW w:w="1648" w:type="pct"/>
            <w:noWrap/>
            <w:hideMark/>
          </w:tcPr>
          <w:p w14:paraId="42C992CF"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D-P-3.6</w:t>
            </w:r>
          </w:p>
        </w:tc>
        <w:tc>
          <w:tcPr>
            <w:tcW w:w="799" w:type="pct"/>
            <w:noWrap/>
            <w:hideMark/>
          </w:tcPr>
          <w:p w14:paraId="4A11E691"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Closed</w:t>
            </w:r>
          </w:p>
        </w:tc>
      </w:tr>
      <w:tr w:rsidR="00E92B8A" w:rsidRPr="000B7710" w14:paraId="45D9B83D" w14:textId="77777777" w:rsidTr="000B7710">
        <w:trPr>
          <w:trHeight w:val="3000"/>
        </w:trPr>
        <w:tc>
          <w:tcPr>
            <w:tcW w:w="301" w:type="pct"/>
            <w:noWrap/>
            <w:hideMark/>
          </w:tcPr>
          <w:p w14:paraId="10534156"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27</w:t>
            </w:r>
          </w:p>
        </w:tc>
        <w:tc>
          <w:tcPr>
            <w:tcW w:w="1022" w:type="pct"/>
            <w:hideMark/>
          </w:tcPr>
          <w:p w14:paraId="64FE421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prior to any destruction of the Bank Swallow habitat, the Canadian Nuclear Safety Commission require OPG to implement </w:t>
            </w:r>
            <w:proofErr w:type="gramStart"/>
            <w:r w:rsidRPr="000B7710">
              <w:rPr>
                <w:rFonts w:ascii="Segoe UI" w:eastAsia="Times New Roman" w:hAnsi="Segoe UI" w:cs="Segoe UI"/>
                <w:sz w:val="24"/>
                <w:szCs w:val="24"/>
              </w:rPr>
              <w:t>all of</w:t>
            </w:r>
            <w:proofErr w:type="gramEnd"/>
            <w:r w:rsidRPr="000B7710">
              <w:rPr>
                <w:rFonts w:ascii="Segoe UI" w:eastAsia="Times New Roman" w:hAnsi="Segoe UI" w:cs="Segoe UI"/>
                <w:sz w:val="24"/>
                <w:szCs w:val="24"/>
              </w:rPr>
              <w:t xml:space="preserve"> its proposed Bank Swallow mitigation options, including:</w:t>
            </w:r>
          </w:p>
          <w:p w14:paraId="093AD2B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acquisition of off-site nesting habitat; </w:t>
            </w:r>
          </w:p>
          <w:p w14:paraId="30B16B5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construction of artificial Bank Swallow nest habitat with the capacity to maintain a population which is at least equal to the number of breeding pairs currently supported by the bluff and as close to the original bluff site as possible; and </w:t>
            </w:r>
          </w:p>
          <w:p w14:paraId="2170252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implementation of an adaptive management approach in the Bank Swallow mitigation plan, with the inclusion of a threshold of loss to be established in consultation with all stakeholders before any habitat destruction takes place. </w:t>
            </w:r>
          </w:p>
        </w:tc>
        <w:tc>
          <w:tcPr>
            <w:tcW w:w="1230" w:type="pct"/>
            <w:hideMark/>
          </w:tcPr>
          <w:p w14:paraId="664D16C3" w14:textId="0A93752C"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the intent of this recommendation to require OPG to implement the identified Bank Swallow mitigation measures using an adaptive management </w:t>
            </w:r>
            <w:r w:rsidR="009D7B56" w:rsidRPr="000B7710">
              <w:rPr>
                <w:rFonts w:ascii="Segoe UI" w:eastAsia="Times New Roman" w:hAnsi="Segoe UI" w:cs="Segoe UI"/>
                <w:sz w:val="24"/>
                <w:szCs w:val="24"/>
              </w:rPr>
              <w:t>approach and</w:t>
            </w:r>
            <w:r w:rsidRPr="000B7710">
              <w:rPr>
                <w:rFonts w:ascii="Segoe UI" w:eastAsia="Times New Roman" w:hAnsi="Segoe UI" w:cs="Segoe UI"/>
                <w:sz w:val="24"/>
                <w:szCs w:val="24"/>
              </w:rPr>
              <w:t xml:space="preserve"> would support determining required mitigation based on reasonable estimates of actual burrow loss. The Government of Canada expects that the acquisition of offsite nesting habitat should only be necessary if follow-up monitoring shows that onsite mitigation is unsuccessful, and notes that onsite mitigation may also include the enhancement of potential natural nesting sites within the Site Study Area. Environment Canada can provide available scientific and technical expertise to the Canadian Nuclear Safety Commission, upon request, to assist in the implementation of this recommendation.</w:t>
            </w:r>
          </w:p>
          <w:p w14:paraId="366F2463" w14:textId="77777777" w:rsidR="00E92B8A" w:rsidRPr="000B7710" w:rsidRDefault="00E92B8A" w:rsidP="000B7710">
            <w:pPr>
              <w:spacing w:before="160"/>
              <w:rPr>
                <w:rFonts w:ascii="Segoe UI" w:eastAsia="Times New Roman" w:hAnsi="Segoe UI" w:cs="Segoe UI"/>
                <w:sz w:val="24"/>
                <w:szCs w:val="24"/>
              </w:rPr>
            </w:pPr>
          </w:p>
          <w:p w14:paraId="60D3B2DE" w14:textId="77777777" w:rsidR="00E92B8A" w:rsidRPr="000B7710" w:rsidRDefault="00E92B8A" w:rsidP="000B7710">
            <w:pPr>
              <w:spacing w:before="160"/>
              <w:rPr>
                <w:rFonts w:ascii="Segoe UI" w:eastAsia="Times New Roman" w:hAnsi="Segoe UI" w:cs="Segoe UI"/>
                <w:sz w:val="24"/>
                <w:szCs w:val="24"/>
              </w:rPr>
            </w:pPr>
          </w:p>
          <w:p w14:paraId="3481E4BD" w14:textId="77777777" w:rsidR="00E92B8A" w:rsidRPr="000B7710" w:rsidRDefault="00E92B8A" w:rsidP="000B7710">
            <w:pPr>
              <w:spacing w:before="160"/>
              <w:rPr>
                <w:rFonts w:ascii="Segoe UI" w:eastAsia="Times New Roman" w:hAnsi="Segoe UI" w:cs="Segoe UI"/>
                <w:sz w:val="24"/>
                <w:szCs w:val="24"/>
              </w:rPr>
            </w:pPr>
          </w:p>
          <w:p w14:paraId="7630E453" w14:textId="77777777" w:rsidR="00E92B8A" w:rsidRPr="000B7710" w:rsidRDefault="00E92B8A" w:rsidP="000B7710">
            <w:pPr>
              <w:spacing w:before="160"/>
              <w:rPr>
                <w:rFonts w:ascii="Segoe UI" w:eastAsia="Times New Roman" w:hAnsi="Segoe UI" w:cs="Segoe UI"/>
                <w:sz w:val="24"/>
                <w:szCs w:val="24"/>
              </w:rPr>
            </w:pPr>
          </w:p>
          <w:p w14:paraId="4CB430CC"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37C0EAA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D-P-3.8</w:t>
            </w:r>
          </w:p>
        </w:tc>
        <w:tc>
          <w:tcPr>
            <w:tcW w:w="799" w:type="pct"/>
            <w:noWrap/>
            <w:hideMark/>
          </w:tcPr>
          <w:p w14:paraId="7EF6319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0BEB539C" w14:textId="77777777" w:rsidTr="000B7710">
        <w:trPr>
          <w:trHeight w:val="248"/>
        </w:trPr>
        <w:tc>
          <w:tcPr>
            <w:tcW w:w="301" w:type="pct"/>
            <w:vMerge w:val="restart"/>
            <w:noWrap/>
            <w:hideMark/>
          </w:tcPr>
          <w:p w14:paraId="4C7DC72A"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28</w:t>
            </w:r>
          </w:p>
        </w:tc>
        <w:tc>
          <w:tcPr>
            <w:tcW w:w="1022" w:type="pct"/>
            <w:vMerge w:val="restart"/>
            <w:hideMark/>
          </w:tcPr>
          <w:p w14:paraId="104E6948"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Fisheries and Oceans Canada require OPG to continue conducting adult fish community surveys in the site study area and reference locations on an ongoing basis. These surveys shall be used to confirm that the results of 2009 gillnetting and 1998 shoreline electrofishing reported by OPG, and the additional data collected in 2010 and 2011, are representative of existing conditions, taking into account natural year-to-year variability.</w:t>
            </w:r>
            <w:r w:rsidRPr="000B7710">
              <w:rPr>
                <w:rFonts w:ascii="Segoe UI" w:eastAsia="Times New Roman" w:hAnsi="Segoe UI" w:cs="Segoe UI"/>
                <w:sz w:val="24"/>
                <w:szCs w:val="24"/>
              </w:rPr>
              <w:br/>
              <w:t>Specific attention should be paid to baseline gillnetting monitoring in spring to verify the findings on fish spatial distribution and relatively high native fish species abundance in the embayment area, such as white sucker and round whitefish. The shoreline electrofishing habitat use study is needed to establish the contemporary baseline for later use to test for effects of lake infill armouring, if employed, and the effectiveness of mitigation.</w:t>
            </w:r>
          </w:p>
        </w:tc>
        <w:tc>
          <w:tcPr>
            <w:tcW w:w="1230" w:type="pct"/>
            <w:vMerge w:val="restart"/>
            <w:hideMark/>
          </w:tcPr>
          <w:p w14:paraId="2B29AC8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Fisheries and Oceans Canada will work with Environment Canada, the Canadian Nuclear Safety Commission, the Ontario Ministry of Natural Resources and OPG to develop the details of an ongoing fisheries monitoring program which will be included as a condition of a Fisheries Act authorization.</w:t>
            </w:r>
          </w:p>
        </w:tc>
        <w:tc>
          <w:tcPr>
            <w:tcW w:w="1648" w:type="pct"/>
            <w:noWrap/>
            <w:hideMark/>
          </w:tcPr>
          <w:p w14:paraId="78CC617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D-P-12.4</w:t>
            </w:r>
          </w:p>
        </w:tc>
        <w:tc>
          <w:tcPr>
            <w:tcW w:w="799" w:type="pct"/>
            <w:noWrap/>
            <w:hideMark/>
          </w:tcPr>
          <w:p w14:paraId="53C371A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7AE31CAF" w14:textId="77777777" w:rsidTr="000B7710">
        <w:trPr>
          <w:trHeight w:val="300"/>
        </w:trPr>
        <w:tc>
          <w:tcPr>
            <w:tcW w:w="301" w:type="pct"/>
            <w:vMerge/>
            <w:noWrap/>
            <w:hideMark/>
          </w:tcPr>
          <w:p w14:paraId="5DF32F88"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55736685"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4730EEA8"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3B4083E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D-P-15.1</w:t>
            </w:r>
          </w:p>
        </w:tc>
        <w:tc>
          <w:tcPr>
            <w:tcW w:w="799" w:type="pct"/>
            <w:noWrap/>
            <w:hideMark/>
          </w:tcPr>
          <w:p w14:paraId="35117C8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0826D4B0" w14:textId="77777777" w:rsidTr="000B7710">
        <w:trPr>
          <w:trHeight w:val="300"/>
        </w:trPr>
        <w:tc>
          <w:tcPr>
            <w:tcW w:w="301" w:type="pct"/>
            <w:vMerge w:val="restart"/>
            <w:noWrap/>
            <w:hideMark/>
          </w:tcPr>
          <w:p w14:paraId="75D05703"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29</w:t>
            </w:r>
          </w:p>
        </w:tc>
        <w:tc>
          <w:tcPr>
            <w:tcW w:w="1022" w:type="pct"/>
            <w:vMerge w:val="restart"/>
            <w:hideMark/>
          </w:tcPr>
          <w:p w14:paraId="54A70E9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Fisheries and Oceans Canada require OPG to continue the research element of the proposed Round Whitefish Action Plan for the specific purpose of better defining the baseline condition, including the population structure, </w:t>
            </w:r>
            <w:proofErr w:type="gramStart"/>
            <w:r w:rsidRPr="000B7710">
              <w:rPr>
                <w:rFonts w:ascii="Segoe UI" w:eastAsia="Times New Roman" w:hAnsi="Segoe UI" w:cs="Segoe UI"/>
                <w:sz w:val="24"/>
                <w:szCs w:val="24"/>
              </w:rPr>
              <w:t>genome</w:t>
            </w:r>
            <w:proofErr w:type="gramEnd"/>
            <w:r w:rsidRPr="000B7710">
              <w:rPr>
                <w:rFonts w:ascii="Segoe UI" w:eastAsia="Times New Roman" w:hAnsi="Segoe UI" w:cs="Segoe UI"/>
                <w:sz w:val="24"/>
                <w:szCs w:val="24"/>
              </w:rPr>
              <w:t xml:space="preserve"> and geographic distribution of the round whitefish population as a basis from which to develop testable predictions of effects, including cumulative effects.</w:t>
            </w:r>
          </w:p>
        </w:tc>
        <w:tc>
          <w:tcPr>
            <w:tcW w:w="1230" w:type="pct"/>
            <w:vMerge w:val="restart"/>
            <w:hideMark/>
          </w:tcPr>
          <w:p w14:paraId="27E7A47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Fisheries and Oceans Canada will work with Environment Canada, Canadian Nuclear Safety Commission, Ontario Ministry of Natural Resources and OPG to develop and finalize the Round Whitefish Action Plan. This plan, as a condition of a Fisheries Act authorization, will form part of the ongoing monitoring program and feed into an adaptive management plan to protect the round whitefish population into the future.</w:t>
            </w:r>
          </w:p>
        </w:tc>
        <w:tc>
          <w:tcPr>
            <w:tcW w:w="1648" w:type="pct"/>
            <w:noWrap/>
            <w:hideMark/>
          </w:tcPr>
          <w:p w14:paraId="7C9DAC3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D-P-12.4</w:t>
            </w:r>
          </w:p>
        </w:tc>
        <w:tc>
          <w:tcPr>
            <w:tcW w:w="799" w:type="pct"/>
            <w:noWrap/>
            <w:hideMark/>
          </w:tcPr>
          <w:p w14:paraId="47E3C5C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598C1D08" w14:textId="77777777" w:rsidTr="000B7710">
        <w:trPr>
          <w:trHeight w:val="300"/>
        </w:trPr>
        <w:tc>
          <w:tcPr>
            <w:tcW w:w="301" w:type="pct"/>
            <w:vMerge/>
            <w:noWrap/>
            <w:hideMark/>
          </w:tcPr>
          <w:p w14:paraId="54BA074D"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7FB70AFB"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2C2D429C"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5F61253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D-P-15.1</w:t>
            </w:r>
          </w:p>
        </w:tc>
        <w:tc>
          <w:tcPr>
            <w:tcW w:w="799" w:type="pct"/>
            <w:noWrap/>
            <w:hideMark/>
          </w:tcPr>
          <w:p w14:paraId="2CDDF1A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253E5A97" w14:textId="77777777" w:rsidTr="000B7710">
        <w:trPr>
          <w:trHeight w:val="320"/>
        </w:trPr>
        <w:tc>
          <w:tcPr>
            <w:tcW w:w="301" w:type="pct"/>
            <w:vMerge w:val="restart"/>
            <w:noWrap/>
            <w:hideMark/>
          </w:tcPr>
          <w:p w14:paraId="6F42B0CB"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30</w:t>
            </w:r>
          </w:p>
        </w:tc>
        <w:tc>
          <w:tcPr>
            <w:tcW w:w="1022" w:type="pct"/>
            <w:vMerge w:val="restart"/>
            <w:hideMark/>
          </w:tcPr>
          <w:p w14:paraId="6C85435F" w14:textId="77777777" w:rsidR="00E92B8A" w:rsidRPr="000B7710" w:rsidRDefault="00E92B8A" w:rsidP="000B7710">
            <w:pPr>
              <w:spacing w:before="160"/>
              <w:rPr>
                <w:rFonts w:ascii="Segoe UI" w:eastAsia="Times New Roman" w:hAnsi="Segoe UI" w:cs="Segoe UI"/>
                <w:sz w:val="24"/>
                <w:szCs w:val="24"/>
              </w:rPr>
            </w:pPr>
            <w:proofErr w:type="gramStart"/>
            <w:r w:rsidRPr="000B7710">
              <w:rPr>
                <w:rFonts w:ascii="Segoe UI" w:eastAsia="Times New Roman" w:hAnsi="Segoe UI" w:cs="Segoe UI"/>
                <w:sz w:val="24"/>
                <w:szCs w:val="24"/>
              </w:rPr>
              <w:t>In the event that</w:t>
            </w:r>
            <w:proofErr w:type="gramEnd"/>
            <w:r w:rsidRPr="000B7710">
              <w:rPr>
                <w:rFonts w:ascii="Segoe UI" w:eastAsia="Times New Roman" w:hAnsi="Segoe UI" w:cs="Segoe UI"/>
                <w:sz w:val="24"/>
                <w:szCs w:val="24"/>
              </w:rPr>
              <w:t xml:space="preserve"> a once-through condenser cooling system is chosen for the Project, the Panel recommends that prior to the construction of in-water structures, Fisheries and Oceans Canada require OPG to conduct:</w:t>
            </w:r>
          </w:p>
          <w:p w14:paraId="4F76757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additional impingement sampling at the existing Darlington Nuclear Generating Station to verify the 2007 results and deal with inter-year fish abundance variability and sample design inadequacies; and </w:t>
            </w:r>
          </w:p>
          <w:p w14:paraId="0E84597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additional entrainment sampling at the existing Darlington Nuclear Generating Station to better establish the current conditions. The program should be designed to guard against a detection limit bias by including in the analysis of entrainment losses those fish species whose larvae and eggs are captured in larval tow surveys for the seasonal period of the year in which they occur. A statistical optimization analysis will be needed to determine if there is a cost-effective entrainment survey design for round whitefish larvae. </w:t>
            </w:r>
          </w:p>
        </w:tc>
        <w:tc>
          <w:tcPr>
            <w:tcW w:w="1230" w:type="pct"/>
            <w:vMerge w:val="restart"/>
            <w:hideMark/>
          </w:tcPr>
          <w:p w14:paraId="0669669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Fisheries and Oceans Canada will work with the Canadian Nuclear Safety Commission, and the Ontario Ministry of Natural Resources to develop an impingement and entrainment sampling program. The Government of Canada would also like to note that authorization under the Fisheries Act will be required prior to any lake infill taking place and commits that Fisheries and Oceans Canada will work with OPG to ensure that the impingement and entrainment sampling program is developed and implemented as a condition of that authorization.</w:t>
            </w:r>
          </w:p>
        </w:tc>
        <w:tc>
          <w:tcPr>
            <w:tcW w:w="1648" w:type="pct"/>
            <w:noWrap/>
            <w:hideMark/>
          </w:tcPr>
          <w:p w14:paraId="1491EE2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D-C-1.2</w:t>
            </w:r>
          </w:p>
        </w:tc>
        <w:tc>
          <w:tcPr>
            <w:tcW w:w="799" w:type="pct"/>
            <w:noWrap/>
            <w:hideMark/>
          </w:tcPr>
          <w:p w14:paraId="3D69F73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182156A2" w14:textId="77777777" w:rsidTr="000B7710">
        <w:trPr>
          <w:trHeight w:val="300"/>
        </w:trPr>
        <w:tc>
          <w:tcPr>
            <w:tcW w:w="301" w:type="pct"/>
            <w:vMerge/>
            <w:noWrap/>
            <w:hideMark/>
          </w:tcPr>
          <w:p w14:paraId="6426299F"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27179FA4"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5054191D"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455452C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D-P-12.4</w:t>
            </w:r>
          </w:p>
        </w:tc>
        <w:tc>
          <w:tcPr>
            <w:tcW w:w="799" w:type="pct"/>
            <w:noWrap/>
            <w:hideMark/>
          </w:tcPr>
          <w:p w14:paraId="4EF7EBE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0BCD1913" w14:textId="77777777" w:rsidTr="000B7710">
        <w:trPr>
          <w:trHeight w:val="300"/>
        </w:trPr>
        <w:tc>
          <w:tcPr>
            <w:tcW w:w="301" w:type="pct"/>
            <w:vMerge/>
            <w:noWrap/>
            <w:hideMark/>
          </w:tcPr>
          <w:p w14:paraId="52053F4B"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2E5A1429"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50C442A8"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143E181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D-P-15.1</w:t>
            </w:r>
          </w:p>
        </w:tc>
        <w:tc>
          <w:tcPr>
            <w:tcW w:w="799" w:type="pct"/>
            <w:noWrap/>
            <w:hideMark/>
          </w:tcPr>
          <w:p w14:paraId="2D2F5498"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48CABDFF" w14:textId="77777777" w:rsidTr="000B7710">
        <w:trPr>
          <w:trHeight w:val="276"/>
        </w:trPr>
        <w:tc>
          <w:tcPr>
            <w:tcW w:w="301" w:type="pct"/>
            <w:vMerge w:val="restart"/>
            <w:noWrap/>
            <w:hideMark/>
          </w:tcPr>
          <w:p w14:paraId="564796D0"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31</w:t>
            </w:r>
          </w:p>
        </w:tc>
        <w:tc>
          <w:tcPr>
            <w:tcW w:w="1022" w:type="pct"/>
            <w:vMerge w:val="restart"/>
            <w:hideMark/>
          </w:tcPr>
          <w:p w14:paraId="13718A2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Irrespective of the condenser cooling system chosen for the Project, the Panel recommends that Fisheries and Oceans Canada not permit OPG to infill beyond the two-metre depth contour in Lake Ontario.</w:t>
            </w:r>
          </w:p>
        </w:tc>
        <w:tc>
          <w:tcPr>
            <w:tcW w:w="1230" w:type="pct"/>
            <w:vMerge w:val="restart"/>
            <w:hideMark/>
          </w:tcPr>
          <w:p w14:paraId="05CD8C7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the intent of this recommendation. Fisheries and Oceans Canada will work with OPG to ensure that the HADD of fish habitat associated with the proposed lake infill is limited to the area within the two-metre depth contour of Lake Ontario. The extent of the HADD as well as appropriate mitigation and habitat compensation will be included in the conditions of authorization under the Fisheries Act.</w:t>
            </w:r>
          </w:p>
        </w:tc>
        <w:tc>
          <w:tcPr>
            <w:tcW w:w="1648" w:type="pct"/>
            <w:noWrap/>
            <w:hideMark/>
          </w:tcPr>
          <w:p w14:paraId="3991FDE8"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D-C-1.1</w:t>
            </w:r>
          </w:p>
        </w:tc>
        <w:tc>
          <w:tcPr>
            <w:tcW w:w="799" w:type="pct"/>
            <w:noWrap/>
            <w:hideMark/>
          </w:tcPr>
          <w:p w14:paraId="30C676D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04223FA4" w14:textId="77777777" w:rsidTr="000B7710">
        <w:trPr>
          <w:trHeight w:val="300"/>
        </w:trPr>
        <w:tc>
          <w:tcPr>
            <w:tcW w:w="301" w:type="pct"/>
            <w:vMerge/>
            <w:noWrap/>
            <w:hideMark/>
          </w:tcPr>
          <w:p w14:paraId="24E7C4F1"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6A7B1B34"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0FCF88F0"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27C51A02"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D-P-14.1</w:t>
            </w:r>
          </w:p>
        </w:tc>
        <w:tc>
          <w:tcPr>
            <w:tcW w:w="799" w:type="pct"/>
            <w:noWrap/>
            <w:hideMark/>
          </w:tcPr>
          <w:p w14:paraId="4F8388C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1F67C979" w14:textId="77777777" w:rsidTr="000B7710">
        <w:trPr>
          <w:trHeight w:val="300"/>
        </w:trPr>
        <w:tc>
          <w:tcPr>
            <w:tcW w:w="301" w:type="pct"/>
            <w:vMerge/>
            <w:noWrap/>
            <w:hideMark/>
          </w:tcPr>
          <w:p w14:paraId="30F01CCB"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068D63A7"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7934B137"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757F89F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D-P-16.1</w:t>
            </w:r>
          </w:p>
        </w:tc>
        <w:tc>
          <w:tcPr>
            <w:tcW w:w="799" w:type="pct"/>
            <w:noWrap/>
            <w:hideMark/>
          </w:tcPr>
          <w:p w14:paraId="38DD5DE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48AA557F" w14:textId="77777777" w:rsidTr="000B7710">
        <w:trPr>
          <w:trHeight w:val="2100"/>
        </w:trPr>
        <w:tc>
          <w:tcPr>
            <w:tcW w:w="301" w:type="pct"/>
            <w:noWrap/>
            <w:hideMark/>
          </w:tcPr>
          <w:p w14:paraId="6BA8F208"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32</w:t>
            </w:r>
          </w:p>
        </w:tc>
        <w:tc>
          <w:tcPr>
            <w:tcW w:w="1022" w:type="pct"/>
            <w:hideMark/>
          </w:tcPr>
          <w:p w14:paraId="4B5A1D42" w14:textId="77777777" w:rsidR="00E92B8A" w:rsidRPr="000B7710" w:rsidRDefault="00E92B8A" w:rsidP="000B7710">
            <w:pPr>
              <w:spacing w:before="160"/>
              <w:rPr>
                <w:rFonts w:ascii="Segoe UI" w:eastAsia="Times New Roman" w:hAnsi="Segoe UI" w:cs="Segoe UI"/>
                <w:sz w:val="24"/>
                <w:szCs w:val="24"/>
              </w:rPr>
            </w:pPr>
            <w:proofErr w:type="gramStart"/>
            <w:r w:rsidRPr="000B7710">
              <w:rPr>
                <w:rFonts w:ascii="Segoe UI" w:eastAsia="Times New Roman" w:hAnsi="Segoe UI" w:cs="Segoe UI"/>
                <w:sz w:val="24"/>
                <w:szCs w:val="24"/>
              </w:rPr>
              <w:t>In the event that</w:t>
            </w:r>
            <w:proofErr w:type="gramEnd"/>
            <w:r w:rsidRPr="000B7710">
              <w:rPr>
                <w:rFonts w:ascii="Segoe UI" w:eastAsia="Times New Roman" w:hAnsi="Segoe UI" w:cs="Segoe UI"/>
                <w:sz w:val="24"/>
                <w:szCs w:val="24"/>
              </w:rPr>
              <w:t xml:space="preserve"> a once-through condenser cooling system is chosen for the Project, the Panel recommends that Fisheries and Oceans Canada require OPG to mitigate the risk of adverse effects from operation, including impingement, entrainment and thermal excursions and plumes, by locating the system intake and diffuser structures in water beyond the nearshore habitat zone. Furthermore, OPG must evaluate other mitigative technologies for the system intake, such as live fish return systems and acoustic deterrents.</w:t>
            </w:r>
          </w:p>
        </w:tc>
        <w:tc>
          <w:tcPr>
            <w:tcW w:w="1230" w:type="pct"/>
            <w:hideMark/>
          </w:tcPr>
          <w:p w14:paraId="5B214CA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this recommendation. Fisheries and Oceans Canada will work with Environment Canada and the Canadian Nuclear Safety Commission to determine the appropriate location for the intake and diffuser structures, and to evaluate other mitigation options for both the intake and the diffuser structures, </w:t>
            </w:r>
            <w:proofErr w:type="gramStart"/>
            <w:r w:rsidRPr="000B7710">
              <w:rPr>
                <w:rFonts w:ascii="Segoe UI" w:eastAsia="Times New Roman" w:hAnsi="Segoe UI" w:cs="Segoe UI"/>
                <w:sz w:val="24"/>
                <w:szCs w:val="24"/>
              </w:rPr>
              <w:t>in order to</w:t>
            </w:r>
            <w:proofErr w:type="gramEnd"/>
            <w:r w:rsidRPr="000B7710">
              <w:rPr>
                <w:rFonts w:ascii="Segoe UI" w:eastAsia="Times New Roman" w:hAnsi="Segoe UI" w:cs="Segoe UI"/>
                <w:sz w:val="24"/>
                <w:szCs w:val="24"/>
              </w:rPr>
              <w:t xml:space="preserve"> mitigate adverse effects. Fisheries and Oceans Canada will work with OPG to ensure implementation through its regulatory process and conditions of authorization under the Fisheries Act.</w:t>
            </w:r>
          </w:p>
        </w:tc>
        <w:tc>
          <w:tcPr>
            <w:tcW w:w="1648" w:type="pct"/>
            <w:noWrap/>
            <w:hideMark/>
          </w:tcPr>
          <w:p w14:paraId="2786C78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D-C-1.2</w:t>
            </w:r>
          </w:p>
        </w:tc>
        <w:tc>
          <w:tcPr>
            <w:tcW w:w="799" w:type="pct"/>
            <w:noWrap/>
            <w:hideMark/>
          </w:tcPr>
          <w:p w14:paraId="78A0B77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0C303D84" w14:textId="77777777" w:rsidTr="000B7710">
        <w:trPr>
          <w:trHeight w:val="629"/>
        </w:trPr>
        <w:tc>
          <w:tcPr>
            <w:tcW w:w="301" w:type="pct"/>
            <w:noWrap/>
            <w:hideMark/>
          </w:tcPr>
          <w:p w14:paraId="499ED542"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33</w:t>
            </w:r>
          </w:p>
        </w:tc>
        <w:tc>
          <w:tcPr>
            <w:tcW w:w="1022" w:type="pct"/>
            <w:hideMark/>
          </w:tcPr>
          <w:p w14:paraId="6D6822E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Fisheries and Oceans Canada require OPG to conduct an impingement and entrainment follow-up program at the existing Darlington Nuclear Generating Station and the Project site to confirm the prediction of adverse effects, including cumulative effects, and the effectiveness of mitigation. For future entrainment sampling for round whitefish, a statistical probability analysis will be needed to determine if unbiased and precise sample results can be produced.</w:t>
            </w:r>
          </w:p>
        </w:tc>
        <w:tc>
          <w:tcPr>
            <w:tcW w:w="1230" w:type="pct"/>
            <w:hideMark/>
          </w:tcPr>
          <w:p w14:paraId="4F11227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Fisheries and Oceans Canada will work with the Canadian Nuclear Safety Commission and Ontario Power Generation to develop an impingement and entrainment study on the existing Darlington Nuclear Generating Station and at the proposed Project site to confirm predicted adverse effects and will further ensure implementation through its regulatory process and conditions of authorization under the Fisheries Act.</w:t>
            </w:r>
          </w:p>
        </w:tc>
        <w:tc>
          <w:tcPr>
            <w:tcW w:w="1648" w:type="pct"/>
            <w:noWrap/>
            <w:hideMark/>
          </w:tcPr>
          <w:p w14:paraId="5F64CC08"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D-P-12.4</w:t>
            </w:r>
          </w:p>
        </w:tc>
        <w:tc>
          <w:tcPr>
            <w:tcW w:w="799" w:type="pct"/>
            <w:noWrap/>
            <w:hideMark/>
          </w:tcPr>
          <w:p w14:paraId="38F438B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491556B2" w14:textId="77777777" w:rsidTr="000B7710">
        <w:trPr>
          <w:trHeight w:val="313"/>
        </w:trPr>
        <w:tc>
          <w:tcPr>
            <w:tcW w:w="301" w:type="pct"/>
            <w:vMerge w:val="restart"/>
            <w:noWrap/>
            <w:hideMark/>
          </w:tcPr>
          <w:p w14:paraId="31B4A88D"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34</w:t>
            </w:r>
          </w:p>
        </w:tc>
        <w:tc>
          <w:tcPr>
            <w:tcW w:w="1022" w:type="pct"/>
            <w:vMerge w:val="restart"/>
            <w:hideMark/>
          </w:tcPr>
          <w:p w14:paraId="7AB2FA84" w14:textId="77777777" w:rsidR="00E92B8A" w:rsidRPr="000B7710" w:rsidRDefault="00E92B8A" w:rsidP="000B7710">
            <w:pPr>
              <w:spacing w:before="160"/>
              <w:rPr>
                <w:rFonts w:ascii="Segoe UI" w:eastAsia="Times New Roman" w:hAnsi="Segoe UI" w:cs="Segoe UI"/>
                <w:sz w:val="24"/>
                <w:szCs w:val="24"/>
              </w:rPr>
            </w:pPr>
            <w:proofErr w:type="gramStart"/>
            <w:r w:rsidRPr="000B7710">
              <w:rPr>
                <w:rFonts w:ascii="Segoe UI" w:eastAsia="Times New Roman" w:hAnsi="Segoe UI" w:cs="Segoe UI"/>
                <w:sz w:val="24"/>
                <w:szCs w:val="24"/>
              </w:rPr>
              <w:t>In the event that</w:t>
            </w:r>
            <w:proofErr w:type="gramEnd"/>
            <w:r w:rsidRPr="000B7710">
              <w:rPr>
                <w:rFonts w:ascii="Segoe UI" w:eastAsia="Times New Roman" w:hAnsi="Segoe UI" w:cs="Segoe UI"/>
                <w:sz w:val="24"/>
                <w:szCs w:val="24"/>
              </w:rPr>
              <w:t xml:space="preserve"> a once-through condenser cooling system is chosen for the Project, the Panel recommends that prior to construction, Environment Canada ensure that enhanced resolution thermal plume modeling is conducted by OPG, taking into account possible future climate change effects. Fisheries and Oceans Canada shall ensure that the results of the modeling are incorporated into the design of the outfall diffuser and the evaluation of alternative locations for the placement of the intake and the diffuser of the proposed condenser cooling water system.</w:t>
            </w:r>
          </w:p>
        </w:tc>
        <w:tc>
          <w:tcPr>
            <w:tcW w:w="1230" w:type="pct"/>
            <w:vMerge w:val="restart"/>
            <w:hideMark/>
          </w:tcPr>
          <w:p w14:paraId="3F419D3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the intent of this recommendation. Environment Canada is committed to reviewing the information provided by OPG, and will rely on Fisheries and Oceans Canada authorization for a HADD associated with the intake or outfall to ensure that OPG undertakes this modelling.</w:t>
            </w:r>
            <w:r w:rsidRPr="000B7710">
              <w:rPr>
                <w:rFonts w:ascii="Segoe UI" w:eastAsia="Times New Roman" w:hAnsi="Segoe UI" w:cs="Segoe UI"/>
                <w:sz w:val="24"/>
                <w:szCs w:val="24"/>
              </w:rPr>
              <w:br/>
              <w:t>Fisheries and Oceans Canada will work with Environment Canada, and the Canadian Nuclear Safety Commission to incorporate the results from the thermal plume modeling into the determination of the appropriate location for the intake and diffuser structures to mitigate adverse effects. Fisheries and Oceans Canada will ensure implementation through conditions of a Fisheries Act authorization.</w:t>
            </w:r>
          </w:p>
        </w:tc>
        <w:tc>
          <w:tcPr>
            <w:tcW w:w="1648" w:type="pct"/>
            <w:noWrap/>
            <w:hideMark/>
          </w:tcPr>
          <w:p w14:paraId="53399CE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D-C-1.2</w:t>
            </w:r>
          </w:p>
        </w:tc>
        <w:tc>
          <w:tcPr>
            <w:tcW w:w="799" w:type="pct"/>
            <w:noWrap/>
            <w:hideMark/>
          </w:tcPr>
          <w:p w14:paraId="644513C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689A19B2" w14:textId="77777777" w:rsidTr="000B7710">
        <w:trPr>
          <w:trHeight w:val="300"/>
        </w:trPr>
        <w:tc>
          <w:tcPr>
            <w:tcW w:w="301" w:type="pct"/>
            <w:vMerge/>
            <w:noWrap/>
            <w:hideMark/>
          </w:tcPr>
          <w:p w14:paraId="52ABBF7B"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21DDC334"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53965C7C"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4A66DC8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D-P-12.4</w:t>
            </w:r>
          </w:p>
        </w:tc>
        <w:tc>
          <w:tcPr>
            <w:tcW w:w="799" w:type="pct"/>
            <w:noWrap/>
            <w:hideMark/>
          </w:tcPr>
          <w:p w14:paraId="6727454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0EDE5C4C" w14:textId="77777777" w:rsidTr="000B7710">
        <w:trPr>
          <w:trHeight w:val="225"/>
        </w:trPr>
        <w:tc>
          <w:tcPr>
            <w:tcW w:w="301" w:type="pct"/>
            <w:vMerge w:val="restart"/>
            <w:noWrap/>
            <w:hideMark/>
          </w:tcPr>
          <w:p w14:paraId="7AD8BE7E"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35</w:t>
            </w:r>
          </w:p>
        </w:tc>
        <w:tc>
          <w:tcPr>
            <w:tcW w:w="1022" w:type="pct"/>
            <w:vMerge w:val="restart"/>
            <w:hideMark/>
          </w:tcPr>
          <w:p w14:paraId="6810D923" w14:textId="77777777" w:rsidR="00E92B8A" w:rsidRPr="000B7710" w:rsidRDefault="00E92B8A" w:rsidP="000B7710">
            <w:pPr>
              <w:spacing w:before="160"/>
              <w:rPr>
                <w:rFonts w:ascii="Segoe UI" w:eastAsia="Times New Roman" w:hAnsi="Segoe UI" w:cs="Segoe UI"/>
                <w:sz w:val="24"/>
                <w:szCs w:val="24"/>
              </w:rPr>
            </w:pPr>
            <w:proofErr w:type="gramStart"/>
            <w:r w:rsidRPr="000B7710">
              <w:rPr>
                <w:rFonts w:ascii="Segoe UI" w:eastAsia="Times New Roman" w:hAnsi="Segoe UI" w:cs="Segoe UI"/>
                <w:sz w:val="24"/>
                <w:szCs w:val="24"/>
              </w:rPr>
              <w:t>In the event that</w:t>
            </w:r>
            <w:proofErr w:type="gramEnd"/>
            <w:r w:rsidRPr="000B7710">
              <w:rPr>
                <w:rFonts w:ascii="Segoe UI" w:eastAsia="Times New Roman" w:hAnsi="Segoe UI" w:cs="Segoe UI"/>
                <w:sz w:val="24"/>
                <w:szCs w:val="24"/>
              </w:rPr>
              <w:t xml:space="preserve"> a once-through condenser cooling system is chosen for the Project, the Panel recommends that prior to operation, the Canadian Nuclear Safety Commission require OPG to include the following in the surface water risk assessment:</w:t>
            </w:r>
          </w:p>
          <w:p w14:paraId="69670D2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surface combined thermal and contaminant plume; and </w:t>
            </w:r>
          </w:p>
          <w:p w14:paraId="31713BA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physical displacement effect of altered lake currents as a hazardous pulse exposure to fish species whose larvae passively drift through the area, such as lake herring, lake whitefish, emerald </w:t>
            </w:r>
            <w:proofErr w:type="gramStart"/>
            <w:r w:rsidRPr="000B7710">
              <w:rPr>
                <w:rFonts w:ascii="Segoe UI" w:eastAsia="Times New Roman" w:hAnsi="Segoe UI" w:cs="Segoe UI"/>
                <w:sz w:val="24"/>
                <w:szCs w:val="24"/>
              </w:rPr>
              <w:t>shiner</w:t>
            </w:r>
            <w:proofErr w:type="gramEnd"/>
            <w:r w:rsidRPr="000B7710">
              <w:rPr>
                <w:rFonts w:ascii="Segoe UI" w:eastAsia="Times New Roman" w:hAnsi="Segoe UI" w:cs="Segoe UI"/>
                <w:sz w:val="24"/>
                <w:szCs w:val="24"/>
              </w:rPr>
              <w:t xml:space="preserve"> and yellow perch. </w:t>
            </w:r>
          </w:p>
          <w:p w14:paraId="600B7539" w14:textId="2571EA33"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If the risk assessment result predicts a potential </w:t>
            </w:r>
            <w:r w:rsidR="009D7B56" w:rsidRPr="000B7710">
              <w:rPr>
                <w:rFonts w:ascii="Segoe UI" w:eastAsia="Times New Roman" w:hAnsi="Segoe UI" w:cs="Segoe UI"/>
                <w:sz w:val="24"/>
                <w:szCs w:val="24"/>
              </w:rPr>
              <w:t>hazard,</w:t>
            </w:r>
            <w:r w:rsidRPr="000B7710">
              <w:rPr>
                <w:rFonts w:ascii="Segoe UI" w:eastAsia="Times New Roman" w:hAnsi="Segoe UI" w:cs="Segoe UI"/>
                <w:sz w:val="24"/>
                <w:szCs w:val="24"/>
              </w:rPr>
              <w:t xml:space="preserve"> then the Canadian Nuclear Safety Commission shall convene a follow-up monitoring scoping workshop with Environment Canada, Fisheries and Oceans Canada and any other relevant authorities to develop an action plan.</w:t>
            </w:r>
          </w:p>
        </w:tc>
        <w:tc>
          <w:tcPr>
            <w:tcW w:w="1230" w:type="pct"/>
            <w:vMerge w:val="restart"/>
            <w:hideMark/>
          </w:tcPr>
          <w:p w14:paraId="329D04F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update a comprehensive surface water risk assessment as recommended, however would clarify that an assessment of the combined thermal and contaminant plume should consider not only the surface area of the plume, but its vertical extent as well. Environment Canada and Fisheries and Oceans Canada can provide available scientific and technical expertise to the Canadian Nuclear Safety Commission, upon request, to assist in the design of the surface water risk assessment and any subsequent action plan development.</w:t>
            </w:r>
          </w:p>
        </w:tc>
        <w:tc>
          <w:tcPr>
            <w:tcW w:w="1648" w:type="pct"/>
            <w:noWrap/>
            <w:hideMark/>
          </w:tcPr>
          <w:p w14:paraId="4CD36758"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D-C-1.2</w:t>
            </w:r>
          </w:p>
        </w:tc>
        <w:tc>
          <w:tcPr>
            <w:tcW w:w="799" w:type="pct"/>
            <w:noWrap/>
            <w:hideMark/>
          </w:tcPr>
          <w:p w14:paraId="653073F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733BAD9A" w14:textId="77777777" w:rsidTr="000B7710">
        <w:trPr>
          <w:trHeight w:val="300"/>
        </w:trPr>
        <w:tc>
          <w:tcPr>
            <w:tcW w:w="301" w:type="pct"/>
            <w:vMerge/>
            <w:noWrap/>
            <w:hideMark/>
          </w:tcPr>
          <w:p w14:paraId="0387899C"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01B6C96B"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5C59B3A2"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784D3CA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D-P-12.3</w:t>
            </w:r>
          </w:p>
        </w:tc>
        <w:tc>
          <w:tcPr>
            <w:tcW w:w="799" w:type="pct"/>
            <w:noWrap/>
            <w:hideMark/>
          </w:tcPr>
          <w:p w14:paraId="461D75C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6CA33D54" w14:textId="77777777" w:rsidTr="000B7710">
        <w:trPr>
          <w:trHeight w:val="300"/>
        </w:trPr>
        <w:tc>
          <w:tcPr>
            <w:tcW w:w="301" w:type="pct"/>
            <w:vMerge/>
            <w:noWrap/>
            <w:hideMark/>
          </w:tcPr>
          <w:p w14:paraId="537FDF23"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6BA014A8"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77457427"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3E85F79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D-P-12.4</w:t>
            </w:r>
          </w:p>
        </w:tc>
        <w:tc>
          <w:tcPr>
            <w:tcW w:w="799" w:type="pct"/>
            <w:noWrap/>
            <w:hideMark/>
          </w:tcPr>
          <w:p w14:paraId="3477A28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7388016A" w14:textId="77777777" w:rsidTr="000B7710">
        <w:trPr>
          <w:trHeight w:val="231"/>
        </w:trPr>
        <w:tc>
          <w:tcPr>
            <w:tcW w:w="301" w:type="pct"/>
            <w:vMerge w:val="restart"/>
            <w:noWrap/>
            <w:hideMark/>
          </w:tcPr>
          <w:p w14:paraId="4D74BE5E"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36</w:t>
            </w:r>
          </w:p>
        </w:tc>
        <w:tc>
          <w:tcPr>
            <w:tcW w:w="1022" w:type="pct"/>
            <w:vMerge w:val="restart"/>
            <w:hideMark/>
          </w:tcPr>
          <w:p w14:paraId="12B809EC" w14:textId="77777777" w:rsidR="00E92B8A" w:rsidRPr="000B7710" w:rsidRDefault="00E92B8A" w:rsidP="000B7710">
            <w:pPr>
              <w:spacing w:before="160"/>
              <w:rPr>
                <w:rFonts w:ascii="Segoe UI" w:eastAsia="Times New Roman" w:hAnsi="Segoe UI" w:cs="Segoe UI"/>
                <w:sz w:val="24"/>
                <w:szCs w:val="24"/>
              </w:rPr>
            </w:pPr>
            <w:proofErr w:type="gramStart"/>
            <w:r w:rsidRPr="000B7710">
              <w:rPr>
                <w:rFonts w:ascii="Segoe UI" w:eastAsia="Times New Roman" w:hAnsi="Segoe UI" w:cs="Segoe UI"/>
                <w:sz w:val="24"/>
                <w:szCs w:val="24"/>
              </w:rPr>
              <w:t>In the event that</w:t>
            </w:r>
            <w:proofErr w:type="gramEnd"/>
            <w:r w:rsidRPr="000B7710">
              <w:rPr>
                <w:rFonts w:ascii="Segoe UI" w:eastAsia="Times New Roman" w:hAnsi="Segoe UI" w:cs="Segoe UI"/>
                <w:sz w:val="24"/>
                <w:szCs w:val="24"/>
              </w:rPr>
              <w:t xml:space="preserve"> a once-through condenser cooling system is chosen for the Project, the Panel recommends that during operation, the Canadian Nuclear Safety Commission require OPG to undertake adult fish monitoring of large-bodied and small-bodied fish to confirm the effectiveness of mitigation measures and verify the predictions of no adverse thermal and physical diffuser jet effects.</w:t>
            </w:r>
          </w:p>
        </w:tc>
        <w:tc>
          <w:tcPr>
            <w:tcW w:w="1230" w:type="pct"/>
            <w:vMerge w:val="restart"/>
            <w:hideMark/>
          </w:tcPr>
          <w:p w14:paraId="39615A2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to require OPG to undertake adult fish monitoring to confirm the effectiveness of mitigation measures and effect predictions. Environment Canada and Fisheries and Oceans Canada can provide available scientific and technical expertise to the Canadian Nuclear Safety Commission, upon request, to assist in the implementation of this recommendation.</w:t>
            </w:r>
            <w:r w:rsidRPr="000B7710">
              <w:rPr>
                <w:rFonts w:ascii="Segoe UI" w:eastAsia="Times New Roman" w:hAnsi="Segoe UI" w:cs="Segoe UI"/>
                <w:sz w:val="24"/>
                <w:szCs w:val="24"/>
              </w:rPr>
              <w:br/>
              <w:t>Fisheries and Oceans Canada is committed to working with OPG to develop their fish and fish habitat monitoring and follow-up program and ensuring implementation through conditions of authorization under the Fisheries Act.</w:t>
            </w:r>
          </w:p>
          <w:p w14:paraId="66CD806F"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74C5077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D-C-1.2</w:t>
            </w:r>
          </w:p>
        </w:tc>
        <w:tc>
          <w:tcPr>
            <w:tcW w:w="799" w:type="pct"/>
            <w:noWrap/>
            <w:hideMark/>
          </w:tcPr>
          <w:p w14:paraId="45BCB56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2D2B1677" w14:textId="77777777" w:rsidTr="000B7710">
        <w:trPr>
          <w:trHeight w:val="300"/>
        </w:trPr>
        <w:tc>
          <w:tcPr>
            <w:tcW w:w="301" w:type="pct"/>
            <w:vMerge/>
            <w:noWrap/>
            <w:hideMark/>
          </w:tcPr>
          <w:p w14:paraId="43AB26E9"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18008599"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671206F6"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39A1F70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D-P-12.4</w:t>
            </w:r>
          </w:p>
        </w:tc>
        <w:tc>
          <w:tcPr>
            <w:tcW w:w="799" w:type="pct"/>
            <w:noWrap/>
            <w:hideMark/>
          </w:tcPr>
          <w:p w14:paraId="158F152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00524FB3" w14:textId="77777777" w:rsidTr="000B7710">
        <w:trPr>
          <w:trHeight w:val="64"/>
        </w:trPr>
        <w:tc>
          <w:tcPr>
            <w:tcW w:w="301" w:type="pct"/>
            <w:vMerge w:val="restart"/>
            <w:noWrap/>
            <w:hideMark/>
          </w:tcPr>
          <w:p w14:paraId="6909ADE4"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37</w:t>
            </w:r>
          </w:p>
        </w:tc>
        <w:tc>
          <w:tcPr>
            <w:tcW w:w="1022" w:type="pct"/>
            <w:vMerge w:val="restart"/>
            <w:hideMark/>
          </w:tcPr>
          <w:p w14:paraId="3360FBCA" w14:textId="77777777" w:rsidR="00E92B8A" w:rsidRPr="000B7710" w:rsidRDefault="00E92B8A" w:rsidP="000B7710">
            <w:pPr>
              <w:spacing w:before="160"/>
              <w:rPr>
                <w:rFonts w:ascii="Segoe UI" w:eastAsia="Times New Roman" w:hAnsi="Segoe UI" w:cs="Segoe UI"/>
                <w:sz w:val="24"/>
                <w:szCs w:val="24"/>
              </w:rPr>
            </w:pPr>
            <w:proofErr w:type="gramStart"/>
            <w:r w:rsidRPr="000B7710">
              <w:rPr>
                <w:rFonts w:ascii="Segoe UI" w:eastAsia="Times New Roman" w:hAnsi="Segoe UI" w:cs="Segoe UI"/>
                <w:sz w:val="24"/>
                <w:szCs w:val="24"/>
              </w:rPr>
              <w:t>In the event that</w:t>
            </w:r>
            <w:proofErr w:type="gramEnd"/>
            <w:r w:rsidRPr="000B7710">
              <w:rPr>
                <w:rFonts w:ascii="Segoe UI" w:eastAsia="Times New Roman" w:hAnsi="Segoe UI" w:cs="Segoe UI"/>
                <w:sz w:val="24"/>
                <w:szCs w:val="24"/>
              </w:rPr>
              <w:t xml:space="preserve"> a once-through condenser cooling system is chosen for the Project, the Panel recommends that prior to construction, the Canadian Nuclear Safety Commission require OPG to determine the total area of permanent aquatic effects from the following, to properly scale mitigation and scope follow-up monitoring:</w:t>
            </w:r>
          </w:p>
          <w:p w14:paraId="2AA846CE"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 the thermal plume + 2°C above ambient temperature; </w:t>
            </w:r>
          </w:p>
          <w:p w14:paraId="14B11F2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 the mixing zone and surface plume contaminants; </w:t>
            </w:r>
          </w:p>
          <w:p w14:paraId="6A06197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physical displacements from altered lake currents; and </w:t>
            </w:r>
          </w:p>
          <w:p w14:paraId="070B46A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infill and construction losses and modifications. </w:t>
            </w:r>
          </w:p>
        </w:tc>
        <w:tc>
          <w:tcPr>
            <w:tcW w:w="1230" w:type="pct"/>
            <w:vMerge w:val="restart"/>
            <w:hideMark/>
          </w:tcPr>
          <w:p w14:paraId="56A1D0B4" w14:textId="4FF52A1E"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the intent of this recommendation to require OPG to determine the total area of permanent aquatic effects from identified impacts. The Government of Canada would further support inclusion of cumulative effects assessment in this assessment, including the effects of impingement and entrainment and climate change. Environment Canada and Fisheries and Oceans Canada can provide available scientific and technical expertise to the Canadian Nuclear Safety Commission, upon request, to assist in the implementation of this recommendation. Further, Fisheries and Oceans Canada is committed to working with the Canadian Nuclear Safety Commission and OPG to ensure that any permanent aquatic habitat effects are </w:t>
            </w:r>
            <w:r w:rsidR="009D7B56" w:rsidRPr="000B7710">
              <w:rPr>
                <w:rFonts w:ascii="Segoe UI" w:eastAsia="Times New Roman" w:hAnsi="Segoe UI" w:cs="Segoe UI"/>
                <w:sz w:val="24"/>
                <w:szCs w:val="24"/>
              </w:rPr>
              <w:t>mitigated,</w:t>
            </w:r>
            <w:r w:rsidRPr="000B7710">
              <w:rPr>
                <w:rFonts w:ascii="Segoe UI" w:eastAsia="Times New Roman" w:hAnsi="Segoe UI" w:cs="Segoe UI"/>
                <w:sz w:val="24"/>
                <w:szCs w:val="24"/>
              </w:rPr>
              <w:t xml:space="preserve"> and appropriate habitat compensation is developed and implemented as a condition of any Fisheries Act authorization.</w:t>
            </w:r>
          </w:p>
        </w:tc>
        <w:tc>
          <w:tcPr>
            <w:tcW w:w="1648" w:type="pct"/>
            <w:noWrap/>
            <w:hideMark/>
          </w:tcPr>
          <w:p w14:paraId="18D05C0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D-C-1.2</w:t>
            </w:r>
          </w:p>
        </w:tc>
        <w:tc>
          <w:tcPr>
            <w:tcW w:w="799" w:type="pct"/>
            <w:noWrap/>
            <w:hideMark/>
          </w:tcPr>
          <w:p w14:paraId="0C67AC8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5B083F12" w14:textId="77777777" w:rsidTr="000B7710">
        <w:trPr>
          <w:trHeight w:val="300"/>
        </w:trPr>
        <w:tc>
          <w:tcPr>
            <w:tcW w:w="301" w:type="pct"/>
            <w:vMerge/>
            <w:noWrap/>
            <w:hideMark/>
          </w:tcPr>
          <w:p w14:paraId="70C83049"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4AF14B71"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25E81E12"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54D66138"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D-P-12.4</w:t>
            </w:r>
          </w:p>
        </w:tc>
        <w:tc>
          <w:tcPr>
            <w:tcW w:w="799" w:type="pct"/>
            <w:noWrap/>
            <w:hideMark/>
          </w:tcPr>
          <w:p w14:paraId="3F5C828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77675FEB" w14:textId="77777777" w:rsidTr="000B7710">
        <w:trPr>
          <w:trHeight w:val="231"/>
        </w:trPr>
        <w:tc>
          <w:tcPr>
            <w:tcW w:w="301" w:type="pct"/>
            <w:vMerge w:val="restart"/>
            <w:noWrap/>
            <w:hideMark/>
          </w:tcPr>
          <w:p w14:paraId="6668810F"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38</w:t>
            </w:r>
          </w:p>
        </w:tc>
        <w:tc>
          <w:tcPr>
            <w:tcW w:w="1022" w:type="pct"/>
            <w:vMerge w:val="restart"/>
            <w:hideMark/>
          </w:tcPr>
          <w:p w14:paraId="522C0F6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the Canadian Nuclear Safety Commission require that the geotechnical and seismic hazard elements of the detailed site geotechnical investigation to be performed by OPG include, but not be limited to:</w:t>
            </w:r>
          </w:p>
          <w:p w14:paraId="7F573B3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Prior to site preparation: </w:t>
            </w:r>
          </w:p>
          <w:p w14:paraId="5088205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demonstration that there are no undesirable subsurface conditions at the Project site. The overall site liquefaction potential shall be assessed with the site investigation data; and </w:t>
            </w:r>
          </w:p>
          <w:p w14:paraId="114DCEF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confirmation of the absence of </w:t>
            </w:r>
            <w:proofErr w:type="spellStart"/>
            <w:r w:rsidRPr="000B7710">
              <w:rPr>
                <w:rFonts w:ascii="Segoe UI" w:eastAsia="Times New Roman" w:hAnsi="Segoe UI" w:cs="Segoe UI"/>
                <w:sz w:val="24"/>
                <w:szCs w:val="24"/>
              </w:rPr>
              <w:t>paleoseismologic</w:t>
            </w:r>
            <w:proofErr w:type="spellEnd"/>
            <w:r w:rsidRPr="000B7710">
              <w:rPr>
                <w:rFonts w:ascii="Segoe UI" w:eastAsia="Times New Roman" w:hAnsi="Segoe UI" w:cs="Segoe UI"/>
                <w:sz w:val="24"/>
                <w:szCs w:val="24"/>
              </w:rPr>
              <w:t xml:space="preserve"> features at the site and, if present, further assessment to reduce the overall uncertainty in the seismic hazard assessment during the design of the Project must be conducted. </w:t>
            </w:r>
          </w:p>
          <w:p w14:paraId="7109FBB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During site preparation and/or prior to construction: </w:t>
            </w:r>
          </w:p>
          <w:p w14:paraId="270ADD2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verification and confirmation of the absence of surface faulting in the overburden and bedrock at the site. </w:t>
            </w:r>
          </w:p>
          <w:p w14:paraId="66D3A94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Prior to construction: </w:t>
            </w:r>
          </w:p>
          <w:p w14:paraId="6112609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verification of the stability of the cut slopes and dyke slopes under both static and dynamic loads with site/Project-specific data during the design of the cut slopes and dykes or before their construction; </w:t>
            </w:r>
          </w:p>
          <w:p w14:paraId="1910392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assessment of potential liquefaction of the northeast waste stockpile by using the data obtained from the pile itself upon completion of site preparation; </w:t>
            </w:r>
          </w:p>
          <w:p w14:paraId="1E6C6A4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measurement of the shear strength of the overburden materials and the dynamic properties of both overburden and sedimentary rocks to confirm the site conditions and to perform soil-structure interaction analysis if necessary; </w:t>
            </w:r>
          </w:p>
          <w:p w14:paraId="4035DD9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assessment of the potential settlement in the quaternary deposits due to the groundwater drawdown caused by future St. </w:t>
            </w:r>
            <w:proofErr w:type="spellStart"/>
            <w:r w:rsidRPr="000B7710">
              <w:rPr>
                <w:rFonts w:ascii="Segoe UI" w:eastAsia="Times New Roman" w:hAnsi="Segoe UI" w:cs="Segoe UI"/>
                <w:sz w:val="24"/>
                <w:szCs w:val="24"/>
              </w:rPr>
              <w:t>Marys</w:t>
            </w:r>
            <w:proofErr w:type="spellEnd"/>
            <w:r w:rsidRPr="000B7710">
              <w:rPr>
                <w:rFonts w:ascii="Segoe UI" w:eastAsia="Times New Roman" w:hAnsi="Segoe UI" w:cs="Segoe UI"/>
                <w:sz w:val="24"/>
                <w:szCs w:val="24"/>
              </w:rPr>
              <w:t xml:space="preserve"> Cement quarry activities; and</w:t>
            </w:r>
          </w:p>
          <w:p w14:paraId="6D83B63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assessment of the effect of the potential settlement on buried infrastructures in the deposits during the design of these infrastructures. </w:t>
            </w:r>
          </w:p>
          <w:p w14:paraId="70F312B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Prior to operation: </w:t>
            </w:r>
          </w:p>
          <w:p w14:paraId="38218DC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development and implementation of a monitoring program for the Phase 4 St. </w:t>
            </w:r>
            <w:proofErr w:type="spellStart"/>
            <w:r w:rsidRPr="000B7710">
              <w:rPr>
                <w:rFonts w:ascii="Segoe UI" w:eastAsia="Times New Roman" w:hAnsi="Segoe UI" w:cs="Segoe UI"/>
                <w:sz w:val="24"/>
                <w:szCs w:val="24"/>
              </w:rPr>
              <w:t>Marys</w:t>
            </w:r>
            <w:proofErr w:type="spellEnd"/>
            <w:r w:rsidRPr="000B7710">
              <w:rPr>
                <w:rFonts w:ascii="Segoe UI" w:eastAsia="Times New Roman" w:hAnsi="Segoe UI" w:cs="Segoe UI"/>
                <w:sz w:val="24"/>
                <w:szCs w:val="24"/>
              </w:rPr>
              <w:t xml:space="preserve"> Cement blasting operations to confirm that the maximum peak ground velocity at the boundary between the Darlington and St. </w:t>
            </w:r>
            <w:proofErr w:type="spellStart"/>
            <w:r w:rsidRPr="000B7710">
              <w:rPr>
                <w:rFonts w:ascii="Segoe UI" w:eastAsia="Times New Roman" w:hAnsi="Segoe UI" w:cs="Segoe UI"/>
                <w:sz w:val="24"/>
                <w:szCs w:val="24"/>
              </w:rPr>
              <w:t>Marys</w:t>
            </w:r>
            <w:proofErr w:type="spellEnd"/>
            <w:r w:rsidRPr="000B7710">
              <w:rPr>
                <w:rFonts w:ascii="Segoe UI" w:eastAsia="Times New Roman" w:hAnsi="Segoe UI" w:cs="Segoe UI"/>
                <w:sz w:val="24"/>
                <w:szCs w:val="24"/>
              </w:rPr>
              <w:t xml:space="preserve"> Cement properties is below the proposed limit of three millimetres per second (mm/s). </w:t>
            </w:r>
          </w:p>
        </w:tc>
        <w:tc>
          <w:tcPr>
            <w:tcW w:w="1230" w:type="pct"/>
            <w:vMerge w:val="restart"/>
            <w:hideMark/>
          </w:tcPr>
          <w:p w14:paraId="7A491E6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the intent of this recommendation to require OPG's detailed site investigation to include the noted geotechnical and seismic hazard elements, however, notes that this investigation may be performed concurrently with site preparation activities. Natural Resources Canada can provide available scientific and technical expertise to the Canadian Nuclear Safety Commission, upon request, to assist in the implementation of this recommendation.</w:t>
            </w:r>
          </w:p>
        </w:tc>
        <w:tc>
          <w:tcPr>
            <w:tcW w:w="1648" w:type="pct"/>
            <w:noWrap/>
            <w:hideMark/>
          </w:tcPr>
          <w:p w14:paraId="621F383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D-O-3.1</w:t>
            </w:r>
          </w:p>
        </w:tc>
        <w:tc>
          <w:tcPr>
            <w:tcW w:w="799" w:type="pct"/>
            <w:noWrap/>
            <w:hideMark/>
          </w:tcPr>
          <w:p w14:paraId="62BC932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106ED2B6" w14:textId="77777777" w:rsidTr="000B7710">
        <w:trPr>
          <w:trHeight w:val="300"/>
        </w:trPr>
        <w:tc>
          <w:tcPr>
            <w:tcW w:w="301" w:type="pct"/>
            <w:vMerge/>
            <w:noWrap/>
            <w:hideMark/>
          </w:tcPr>
          <w:p w14:paraId="53D79F26"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12015A7C"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58F90D2E"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657B7826"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D-P-9.1</w:t>
            </w:r>
          </w:p>
        </w:tc>
        <w:tc>
          <w:tcPr>
            <w:tcW w:w="799" w:type="pct"/>
            <w:noWrap/>
            <w:hideMark/>
          </w:tcPr>
          <w:p w14:paraId="4CBD2CD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537C1A7B" w14:textId="77777777" w:rsidTr="000B7710">
        <w:trPr>
          <w:trHeight w:val="300"/>
        </w:trPr>
        <w:tc>
          <w:tcPr>
            <w:tcW w:w="301" w:type="pct"/>
            <w:vMerge/>
            <w:noWrap/>
            <w:hideMark/>
          </w:tcPr>
          <w:p w14:paraId="06963AFB"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4C615EC3"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4E7D45CA"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36EB464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D-P-9.3</w:t>
            </w:r>
          </w:p>
        </w:tc>
        <w:tc>
          <w:tcPr>
            <w:tcW w:w="799" w:type="pct"/>
            <w:noWrap/>
            <w:hideMark/>
          </w:tcPr>
          <w:p w14:paraId="7AF2E65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568B5BD0" w14:textId="77777777" w:rsidTr="000B7710">
        <w:trPr>
          <w:trHeight w:val="300"/>
        </w:trPr>
        <w:tc>
          <w:tcPr>
            <w:tcW w:w="301" w:type="pct"/>
            <w:vMerge/>
            <w:noWrap/>
            <w:hideMark/>
          </w:tcPr>
          <w:p w14:paraId="5B10D066"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2F17D297"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3FF6B629"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76B70B6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D-P-9.4</w:t>
            </w:r>
          </w:p>
        </w:tc>
        <w:tc>
          <w:tcPr>
            <w:tcW w:w="799" w:type="pct"/>
            <w:noWrap/>
            <w:hideMark/>
          </w:tcPr>
          <w:p w14:paraId="673E27D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580FDB83" w14:textId="77777777" w:rsidTr="000B7710">
        <w:trPr>
          <w:trHeight w:val="300"/>
        </w:trPr>
        <w:tc>
          <w:tcPr>
            <w:tcW w:w="301" w:type="pct"/>
            <w:vMerge/>
            <w:noWrap/>
            <w:hideMark/>
          </w:tcPr>
          <w:p w14:paraId="3B4E2C4E"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41067BD6"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30C98FDE"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3FA10A4B"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D-P-9.5</w:t>
            </w:r>
          </w:p>
        </w:tc>
        <w:tc>
          <w:tcPr>
            <w:tcW w:w="799" w:type="pct"/>
            <w:noWrap/>
            <w:hideMark/>
          </w:tcPr>
          <w:p w14:paraId="2014C68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71035FA5" w14:textId="77777777" w:rsidTr="000B7710">
        <w:trPr>
          <w:trHeight w:val="913"/>
        </w:trPr>
        <w:tc>
          <w:tcPr>
            <w:tcW w:w="301" w:type="pct"/>
            <w:noWrap/>
            <w:hideMark/>
          </w:tcPr>
          <w:p w14:paraId="73652793"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39</w:t>
            </w:r>
          </w:p>
        </w:tc>
        <w:tc>
          <w:tcPr>
            <w:tcW w:w="1022" w:type="pct"/>
            <w:hideMark/>
          </w:tcPr>
          <w:p w14:paraId="0AAC1D5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prior to construction, the Canadian Nuclear Safety Commission require OPG to prepare a contingency plan for the construction, </w:t>
            </w:r>
            <w:proofErr w:type="gramStart"/>
            <w:r w:rsidRPr="000B7710">
              <w:rPr>
                <w:rFonts w:ascii="Segoe UI" w:eastAsia="Times New Roman" w:hAnsi="Segoe UI" w:cs="Segoe UI"/>
                <w:sz w:val="24"/>
                <w:szCs w:val="24"/>
              </w:rPr>
              <w:t>operation</w:t>
            </w:r>
            <w:proofErr w:type="gramEnd"/>
            <w:r w:rsidRPr="000B7710">
              <w:rPr>
                <w:rFonts w:ascii="Segoe UI" w:eastAsia="Times New Roman" w:hAnsi="Segoe UI" w:cs="Segoe UI"/>
                <w:sz w:val="24"/>
                <w:szCs w:val="24"/>
              </w:rPr>
              <w:t xml:space="preserve"> and decommissioning Project stages to account for uncertainties associated with flooding and other extreme weather hazards. OPG shall conduct localized climate change modelling to confirm its conclusion of a low impact of climate change. A margin/bound of changes to key parameters, such as intensity of extreme weather events, needs to be established to the satisfaction of the Canadian Nuclear Safety Commission. These parameters can be incorporated into hydrological designs leading up to an application to construct a reactor, as well as measures for flood protection. OPG must also conduct a drought analysis and incorporate any additional required mitigation/design modifications, to the satisfaction of the Canadian Nuclear Safety Commission, as part of a Licence to Construct a reactor.</w:t>
            </w:r>
          </w:p>
        </w:tc>
        <w:tc>
          <w:tcPr>
            <w:tcW w:w="1230" w:type="pct"/>
            <w:hideMark/>
          </w:tcPr>
          <w:p w14:paraId="07EDDAC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this recommendation to require OPG to prepare a contingency plan to account for uncertainties associated with flooding, </w:t>
            </w:r>
            <w:proofErr w:type="gramStart"/>
            <w:r w:rsidRPr="000B7710">
              <w:rPr>
                <w:rFonts w:ascii="Segoe UI" w:eastAsia="Times New Roman" w:hAnsi="Segoe UI" w:cs="Segoe UI"/>
                <w:sz w:val="24"/>
                <w:szCs w:val="24"/>
              </w:rPr>
              <w:t>drought</w:t>
            </w:r>
            <w:proofErr w:type="gramEnd"/>
            <w:r w:rsidRPr="000B7710">
              <w:rPr>
                <w:rFonts w:ascii="Segoe UI" w:eastAsia="Times New Roman" w:hAnsi="Segoe UI" w:cs="Segoe UI"/>
                <w:sz w:val="24"/>
                <w:szCs w:val="24"/>
              </w:rPr>
              <w:t xml:space="preserve"> and other extreme weather hazards, as recommended. The Government of Canada accepts the intent of the recommendation to conduct localized climate change modelling; however, if OPG uses reputable published studies to evaluate the anticipated impact of climate change for the Project area, localized climate change modelling may not be necessary. Environment Canada can provide available scientific and technical expertise to the Canadian Nuclear Safety Commission, upon request, to assist in the implementation of this recommendation.</w:t>
            </w:r>
          </w:p>
        </w:tc>
        <w:tc>
          <w:tcPr>
            <w:tcW w:w="1648" w:type="pct"/>
            <w:noWrap/>
            <w:hideMark/>
          </w:tcPr>
          <w:p w14:paraId="4AEF1E7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D-C-7.1</w:t>
            </w:r>
          </w:p>
        </w:tc>
        <w:tc>
          <w:tcPr>
            <w:tcW w:w="799" w:type="pct"/>
            <w:noWrap/>
            <w:hideMark/>
          </w:tcPr>
          <w:p w14:paraId="5271C0E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0C071537" w14:textId="77777777" w:rsidTr="000B7710">
        <w:trPr>
          <w:trHeight w:val="302"/>
        </w:trPr>
        <w:tc>
          <w:tcPr>
            <w:tcW w:w="301" w:type="pct"/>
            <w:vMerge w:val="restart"/>
            <w:noWrap/>
            <w:hideMark/>
          </w:tcPr>
          <w:p w14:paraId="29794071"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40</w:t>
            </w:r>
          </w:p>
        </w:tc>
        <w:tc>
          <w:tcPr>
            <w:tcW w:w="1022" w:type="pct"/>
            <w:vMerge w:val="restart"/>
            <w:hideMark/>
          </w:tcPr>
          <w:p w14:paraId="2BAA008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prior to construction, the Canadian Nuclear Safety Commission require OPG to:</w:t>
            </w:r>
          </w:p>
          <w:p w14:paraId="33E1F2FC"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establish an adaptive management program for algal hazard to the Project cooling water system intake that includes the setup of thresholds for further actions; and</w:t>
            </w:r>
          </w:p>
          <w:p w14:paraId="7E338822"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factor the algal hazard assessment into a more detailed biological evaluation of moving the intake and diffuser deeper offshore as part of the detailed siting studies and the cost-benefit analysis of the cooling system. </w:t>
            </w:r>
          </w:p>
        </w:tc>
        <w:tc>
          <w:tcPr>
            <w:tcW w:w="1230" w:type="pct"/>
            <w:vMerge w:val="restart"/>
            <w:hideMark/>
          </w:tcPr>
          <w:p w14:paraId="19FA7159" w14:textId="28F99B66"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accepts this recommendation to require OPG to establish an adaptive management program for algal hazards to the cooling water system </w:t>
            </w:r>
            <w:r w:rsidR="009D7B56" w:rsidRPr="000B7710">
              <w:rPr>
                <w:rFonts w:ascii="Segoe UI" w:eastAsia="Times New Roman" w:hAnsi="Segoe UI" w:cs="Segoe UI"/>
                <w:sz w:val="24"/>
                <w:szCs w:val="24"/>
              </w:rPr>
              <w:t>intake and</w:t>
            </w:r>
            <w:r w:rsidRPr="000B7710">
              <w:rPr>
                <w:rFonts w:ascii="Segoe UI" w:eastAsia="Times New Roman" w:hAnsi="Segoe UI" w:cs="Segoe UI"/>
                <w:sz w:val="24"/>
                <w:szCs w:val="24"/>
              </w:rPr>
              <w:t xml:space="preserve"> factor that assessment into planned siting studies and cost-benefit analyses. Fisheries and Oceans Canada and Environment Canada can provide available scientific and technical expertise to the Canadian Nuclear Safety Commission, upon request, to assist in the implementation of this recommendation.</w:t>
            </w:r>
          </w:p>
        </w:tc>
        <w:tc>
          <w:tcPr>
            <w:tcW w:w="1648" w:type="pct"/>
            <w:noWrap/>
            <w:hideMark/>
          </w:tcPr>
          <w:p w14:paraId="37DB1383"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D-C-1.2</w:t>
            </w:r>
          </w:p>
        </w:tc>
        <w:tc>
          <w:tcPr>
            <w:tcW w:w="799" w:type="pct"/>
            <w:noWrap/>
            <w:hideMark/>
          </w:tcPr>
          <w:p w14:paraId="6A885A8F"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39124581" w14:textId="77777777" w:rsidTr="000B7710">
        <w:trPr>
          <w:trHeight w:val="300"/>
        </w:trPr>
        <w:tc>
          <w:tcPr>
            <w:tcW w:w="301" w:type="pct"/>
            <w:vMerge/>
            <w:noWrap/>
            <w:hideMark/>
          </w:tcPr>
          <w:p w14:paraId="06C59CBA" w14:textId="77777777" w:rsidR="00E92B8A" w:rsidRPr="000B7710" w:rsidRDefault="00E92B8A" w:rsidP="000B7710">
            <w:pPr>
              <w:spacing w:before="160"/>
              <w:rPr>
                <w:rFonts w:ascii="Segoe UI" w:eastAsia="Times New Roman" w:hAnsi="Segoe UI" w:cs="Segoe UI"/>
                <w:sz w:val="24"/>
                <w:szCs w:val="24"/>
              </w:rPr>
            </w:pPr>
          </w:p>
        </w:tc>
        <w:tc>
          <w:tcPr>
            <w:tcW w:w="1022" w:type="pct"/>
            <w:vMerge/>
            <w:hideMark/>
          </w:tcPr>
          <w:p w14:paraId="661A3275" w14:textId="77777777" w:rsidR="00E92B8A" w:rsidRPr="000B7710" w:rsidRDefault="00E92B8A" w:rsidP="000B7710">
            <w:pPr>
              <w:spacing w:before="160"/>
              <w:rPr>
                <w:rFonts w:ascii="Segoe UI" w:eastAsia="Times New Roman" w:hAnsi="Segoe UI" w:cs="Segoe UI"/>
                <w:sz w:val="24"/>
                <w:szCs w:val="24"/>
              </w:rPr>
            </w:pPr>
          </w:p>
        </w:tc>
        <w:tc>
          <w:tcPr>
            <w:tcW w:w="1230" w:type="pct"/>
            <w:vMerge/>
            <w:hideMark/>
          </w:tcPr>
          <w:p w14:paraId="160E96C3" w14:textId="77777777" w:rsidR="00E92B8A" w:rsidRPr="000B7710" w:rsidRDefault="00E92B8A" w:rsidP="000B7710">
            <w:pPr>
              <w:spacing w:before="160"/>
              <w:rPr>
                <w:rFonts w:ascii="Segoe UI" w:eastAsia="Times New Roman" w:hAnsi="Segoe UI" w:cs="Segoe UI"/>
                <w:sz w:val="24"/>
                <w:szCs w:val="24"/>
              </w:rPr>
            </w:pPr>
          </w:p>
        </w:tc>
        <w:tc>
          <w:tcPr>
            <w:tcW w:w="1648" w:type="pct"/>
            <w:noWrap/>
            <w:hideMark/>
          </w:tcPr>
          <w:p w14:paraId="48BA6BA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D-P-12.4</w:t>
            </w:r>
          </w:p>
        </w:tc>
        <w:tc>
          <w:tcPr>
            <w:tcW w:w="799" w:type="pct"/>
            <w:noWrap/>
            <w:hideMark/>
          </w:tcPr>
          <w:p w14:paraId="32C134C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Open</w:t>
            </w:r>
          </w:p>
        </w:tc>
      </w:tr>
      <w:tr w:rsidR="00E92B8A" w:rsidRPr="000B7710" w14:paraId="741F6C04" w14:textId="77777777" w:rsidTr="000B7710">
        <w:trPr>
          <w:trHeight w:val="1200"/>
        </w:trPr>
        <w:tc>
          <w:tcPr>
            <w:tcW w:w="301" w:type="pct"/>
            <w:noWrap/>
            <w:hideMark/>
          </w:tcPr>
          <w:p w14:paraId="0D013AD6" w14:textId="77777777" w:rsidR="00E92B8A" w:rsidRPr="000B7710" w:rsidRDefault="00E92B8A" w:rsidP="000B7710">
            <w:pPr>
              <w:spacing w:before="160"/>
              <w:rPr>
                <w:rFonts w:ascii="Segoe UI" w:eastAsia="Times New Roman" w:hAnsi="Segoe UI" w:cs="Segoe UI"/>
              </w:rPr>
            </w:pPr>
            <w:r w:rsidRPr="000B7710">
              <w:rPr>
                <w:rFonts w:ascii="Segoe UI" w:eastAsia="Times New Roman" w:hAnsi="Segoe UI" w:cs="Segoe UI"/>
              </w:rPr>
              <w:t>41</w:t>
            </w:r>
          </w:p>
        </w:tc>
        <w:tc>
          <w:tcPr>
            <w:tcW w:w="1022" w:type="pct"/>
            <w:hideMark/>
          </w:tcPr>
          <w:p w14:paraId="033AD67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prior to site preparation, the Canadian Nuclear Safety Commission coordinate discussions with OPG and key stakeholders on the effects of the Project on housing supply and demand, community recreational facilities and programs, </w:t>
            </w:r>
            <w:proofErr w:type="gramStart"/>
            <w:r w:rsidRPr="000B7710">
              <w:rPr>
                <w:rFonts w:ascii="Segoe UI" w:eastAsia="Times New Roman" w:hAnsi="Segoe UI" w:cs="Segoe UI"/>
                <w:sz w:val="24"/>
                <w:szCs w:val="24"/>
              </w:rPr>
              <w:t>services</w:t>
            </w:r>
            <w:proofErr w:type="gramEnd"/>
            <w:r w:rsidRPr="000B7710">
              <w:rPr>
                <w:rFonts w:ascii="Segoe UI" w:eastAsia="Times New Roman" w:hAnsi="Segoe UI" w:cs="Segoe UI"/>
                <w:sz w:val="24"/>
                <w:szCs w:val="24"/>
              </w:rPr>
              <w:t xml:space="preserve"> and infrastructure as well as additional measures to help deal with the pressures on these community assets.</w:t>
            </w:r>
          </w:p>
        </w:tc>
        <w:tc>
          <w:tcPr>
            <w:tcW w:w="1230" w:type="pct"/>
            <w:hideMark/>
          </w:tcPr>
          <w:p w14:paraId="0342925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the intent of this recommendation for the CNSC to initiate discussions with OPG and key stakeholders, however, notes that these discussions may occur concurrently with site preparation activities.</w:t>
            </w:r>
          </w:p>
        </w:tc>
        <w:tc>
          <w:tcPr>
            <w:tcW w:w="1648" w:type="pct"/>
            <w:noWrap/>
            <w:hideMark/>
          </w:tcPr>
          <w:p w14:paraId="2BF3BCF1"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D-P-17.1</w:t>
            </w:r>
          </w:p>
        </w:tc>
        <w:tc>
          <w:tcPr>
            <w:tcW w:w="799" w:type="pct"/>
            <w:noWrap/>
            <w:hideMark/>
          </w:tcPr>
          <w:p w14:paraId="40A424AA"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2D42E6E0" w14:textId="77777777" w:rsidTr="000B7710">
        <w:trPr>
          <w:trHeight w:val="1500"/>
        </w:trPr>
        <w:tc>
          <w:tcPr>
            <w:tcW w:w="301" w:type="pct"/>
            <w:noWrap/>
            <w:hideMark/>
          </w:tcPr>
          <w:p w14:paraId="747FC29F" w14:textId="77777777" w:rsidR="00E92B8A" w:rsidRPr="00C150DB" w:rsidRDefault="00E92B8A" w:rsidP="000B7710">
            <w:pPr>
              <w:spacing w:before="160"/>
              <w:rPr>
                <w:rFonts w:ascii="Segoe UI" w:eastAsia="Times New Roman" w:hAnsi="Segoe UI" w:cs="Segoe UI"/>
              </w:rPr>
            </w:pPr>
            <w:r w:rsidRPr="00C150DB">
              <w:rPr>
                <w:rFonts w:ascii="Segoe UI" w:eastAsia="Times New Roman" w:hAnsi="Segoe UI" w:cs="Segoe UI"/>
              </w:rPr>
              <w:t>42</w:t>
            </w:r>
          </w:p>
        </w:tc>
        <w:tc>
          <w:tcPr>
            <w:tcW w:w="1022" w:type="pct"/>
            <w:hideMark/>
          </w:tcPr>
          <w:p w14:paraId="645A40A0"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Panel recommends that on an ongoing basis, OPG pursue its strategy to ensure that Aboriginal students can benefit from the permanent job opportunities that will be available during the lifetime of the Project. In this regard, OPG should collaborate with various secondary and post-secondary education institutions as well as Aboriginal groups to ensure that such programs would be successful.</w:t>
            </w:r>
          </w:p>
        </w:tc>
        <w:tc>
          <w:tcPr>
            <w:tcW w:w="1230" w:type="pct"/>
            <w:hideMark/>
          </w:tcPr>
          <w:p w14:paraId="756E257F" w14:textId="69BB5AF8"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Government of Canada supports this proposal and notes that such programs are consistent with OPG’s presentation to the Panel on Aboriginal Interests on March 28, </w:t>
            </w:r>
            <w:r w:rsidR="009D7B56" w:rsidRPr="000B7710">
              <w:rPr>
                <w:rFonts w:ascii="Segoe UI" w:eastAsia="Times New Roman" w:hAnsi="Segoe UI" w:cs="Segoe UI"/>
                <w:sz w:val="24"/>
                <w:szCs w:val="24"/>
              </w:rPr>
              <w:t>2011,</w:t>
            </w:r>
            <w:r w:rsidRPr="000B7710">
              <w:rPr>
                <w:rFonts w:ascii="Segoe UI" w:eastAsia="Times New Roman" w:hAnsi="Segoe UI" w:cs="Segoe UI"/>
                <w:sz w:val="24"/>
                <w:szCs w:val="24"/>
              </w:rPr>
              <w:t xml:space="preserve"> and with OPG’s Aboriginal Relations Policy.</w:t>
            </w:r>
          </w:p>
        </w:tc>
        <w:tc>
          <w:tcPr>
            <w:tcW w:w="1648" w:type="pct"/>
            <w:noWrap/>
            <w:hideMark/>
          </w:tcPr>
          <w:p w14:paraId="1DA15E24"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D-P-17.1</w:t>
            </w:r>
          </w:p>
        </w:tc>
        <w:tc>
          <w:tcPr>
            <w:tcW w:w="799" w:type="pct"/>
            <w:noWrap/>
            <w:hideMark/>
          </w:tcPr>
          <w:p w14:paraId="52A55F39"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7B7EA386" w14:textId="77777777" w:rsidTr="000B7710">
        <w:trPr>
          <w:trHeight w:val="900"/>
        </w:trPr>
        <w:tc>
          <w:tcPr>
            <w:tcW w:w="301" w:type="pct"/>
            <w:noWrap/>
            <w:hideMark/>
          </w:tcPr>
          <w:p w14:paraId="7A9FD8B1" w14:textId="77777777" w:rsidR="00E92B8A" w:rsidRPr="00C150DB" w:rsidRDefault="00E92B8A" w:rsidP="000B7710">
            <w:pPr>
              <w:spacing w:before="160"/>
              <w:rPr>
                <w:rFonts w:ascii="Segoe UI" w:eastAsia="Times New Roman" w:hAnsi="Segoe UI" w:cs="Segoe UI"/>
              </w:rPr>
            </w:pPr>
            <w:r w:rsidRPr="00C150DB">
              <w:rPr>
                <w:rFonts w:ascii="Segoe UI" w:eastAsia="Times New Roman" w:hAnsi="Segoe UI" w:cs="Segoe UI"/>
              </w:rPr>
              <w:t>43</w:t>
            </w:r>
          </w:p>
        </w:tc>
        <w:tc>
          <w:tcPr>
            <w:tcW w:w="1022" w:type="pct"/>
            <w:hideMark/>
          </w:tcPr>
          <w:p w14:paraId="6148FCC7"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 xml:space="preserve">The Panel recommends that the Canadian Nuclear Safety Commission engage appropriate stakeholders, including OPG, Emergency Management Ontario, municipal </w:t>
            </w:r>
            <w:proofErr w:type="gramStart"/>
            <w:r w:rsidRPr="000B7710">
              <w:rPr>
                <w:rFonts w:ascii="Segoe UI" w:eastAsia="Times New Roman" w:hAnsi="Segoe UI" w:cs="Segoe UI"/>
                <w:sz w:val="24"/>
                <w:szCs w:val="24"/>
              </w:rPr>
              <w:t>governments</w:t>
            </w:r>
            <w:proofErr w:type="gramEnd"/>
            <w:r w:rsidRPr="000B7710">
              <w:rPr>
                <w:rFonts w:ascii="Segoe UI" w:eastAsia="Times New Roman" w:hAnsi="Segoe UI" w:cs="Segoe UI"/>
                <w:sz w:val="24"/>
                <w:szCs w:val="24"/>
              </w:rPr>
              <w:t xml:space="preserve"> and the Government of Ontario to develop a policy for land use around nuclear generating stations.</w:t>
            </w:r>
          </w:p>
        </w:tc>
        <w:tc>
          <w:tcPr>
            <w:tcW w:w="1230" w:type="pct"/>
            <w:hideMark/>
          </w:tcPr>
          <w:p w14:paraId="48164F82"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The Government of Canada accepts this recommendation for the Canadian Nuclear Safety Commission to engage appropriate stakeholders in developing policy for land use around nuclear generating stations.</w:t>
            </w:r>
          </w:p>
        </w:tc>
        <w:tc>
          <w:tcPr>
            <w:tcW w:w="1648" w:type="pct"/>
            <w:noWrap/>
            <w:hideMark/>
          </w:tcPr>
          <w:p w14:paraId="1AF519AD"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D-P-17.1</w:t>
            </w:r>
          </w:p>
        </w:tc>
        <w:tc>
          <w:tcPr>
            <w:tcW w:w="799" w:type="pct"/>
            <w:noWrap/>
            <w:hideMark/>
          </w:tcPr>
          <w:p w14:paraId="47E6C775" w14:textId="77777777" w:rsidR="00E92B8A" w:rsidRPr="000B7710" w:rsidRDefault="00E92B8A" w:rsidP="000B7710">
            <w:pPr>
              <w:spacing w:before="160"/>
              <w:rPr>
                <w:rFonts w:ascii="Segoe UI" w:eastAsia="Times New Roman" w:hAnsi="Segoe UI" w:cs="Segoe UI"/>
                <w:sz w:val="24"/>
                <w:szCs w:val="24"/>
              </w:rPr>
            </w:pPr>
            <w:r w:rsidRPr="000B7710">
              <w:rPr>
                <w:rFonts w:ascii="Segoe UI" w:eastAsia="Times New Roman" w:hAnsi="Segoe UI" w:cs="Segoe UI"/>
                <w:sz w:val="24"/>
                <w:szCs w:val="24"/>
              </w:rPr>
              <w:t>Closed</w:t>
            </w:r>
          </w:p>
        </w:tc>
      </w:tr>
      <w:tr w:rsidR="00E92B8A" w:rsidRPr="000B7710" w14:paraId="3E50CCC2" w14:textId="77777777" w:rsidTr="000B7710">
        <w:trPr>
          <w:trHeight w:val="600"/>
        </w:trPr>
        <w:tc>
          <w:tcPr>
            <w:tcW w:w="301" w:type="pct"/>
            <w:noWrap/>
            <w:hideMark/>
          </w:tcPr>
          <w:p w14:paraId="44544B95"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44</w:t>
            </w:r>
          </w:p>
        </w:tc>
        <w:tc>
          <w:tcPr>
            <w:tcW w:w="1022" w:type="pct"/>
            <w:hideMark/>
          </w:tcPr>
          <w:p w14:paraId="70E46F5D"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the Government of Ontario take appropriate measures to prevent sensitive and residential development within three kilometres of the site boundary.</w:t>
            </w:r>
          </w:p>
        </w:tc>
        <w:tc>
          <w:tcPr>
            <w:tcW w:w="1230" w:type="pct"/>
            <w:hideMark/>
          </w:tcPr>
          <w:p w14:paraId="069133A2"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This recommendation was directed to the Government of Ontario.</w:t>
            </w:r>
          </w:p>
        </w:tc>
        <w:tc>
          <w:tcPr>
            <w:tcW w:w="1648" w:type="pct"/>
            <w:noWrap/>
            <w:hideMark/>
          </w:tcPr>
          <w:p w14:paraId="0B76703F"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59BCE2AC"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Complete</w:t>
            </w:r>
          </w:p>
        </w:tc>
      </w:tr>
      <w:tr w:rsidR="00E92B8A" w:rsidRPr="000B7710" w14:paraId="6CB52420" w14:textId="77777777" w:rsidTr="000B7710">
        <w:trPr>
          <w:trHeight w:val="900"/>
        </w:trPr>
        <w:tc>
          <w:tcPr>
            <w:tcW w:w="301" w:type="pct"/>
            <w:noWrap/>
            <w:hideMark/>
          </w:tcPr>
          <w:p w14:paraId="3CCBF403"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45</w:t>
            </w:r>
          </w:p>
        </w:tc>
        <w:tc>
          <w:tcPr>
            <w:tcW w:w="1022" w:type="pct"/>
            <w:hideMark/>
          </w:tcPr>
          <w:p w14:paraId="775CE024" w14:textId="672DC2E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The Panel recommends that the Municipality of Clarington prevent, for the lifetime of the nuclear facility, the establishment of sensitive public facilities such as school, </w:t>
            </w:r>
            <w:proofErr w:type="gramStart"/>
            <w:r w:rsidRPr="00C150DB">
              <w:rPr>
                <w:rFonts w:ascii="Segoe UI" w:eastAsia="Times New Roman" w:hAnsi="Segoe UI" w:cs="Segoe UI"/>
                <w:sz w:val="24"/>
                <w:szCs w:val="24"/>
              </w:rPr>
              <w:t>hospitals</w:t>
            </w:r>
            <w:proofErr w:type="gramEnd"/>
            <w:r w:rsidRPr="00C150DB">
              <w:rPr>
                <w:rFonts w:ascii="Segoe UI" w:eastAsia="Times New Roman" w:hAnsi="Segoe UI" w:cs="Segoe UI"/>
                <w:sz w:val="24"/>
                <w:szCs w:val="24"/>
              </w:rPr>
              <w:t xml:space="preserve"> and residences for vulnerable clienteles within the </w:t>
            </w:r>
            <w:r w:rsidR="009D7B56" w:rsidRPr="00C150DB">
              <w:rPr>
                <w:rFonts w:ascii="Segoe UI" w:eastAsia="Times New Roman" w:hAnsi="Segoe UI" w:cs="Segoe UI"/>
                <w:sz w:val="24"/>
                <w:szCs w:val="24"/>
              </w:rPr>
              <w:t>three-kilometre</w:t>
            </w:r>
            <w:r w:rsidRPr="00C150DB">
              <w:rPr>
                <w:rFonts w:ascii="Segoe UI" w:eastAsia="Times New Roman" w:hAnsi="Segoe UI" w:cs="Segoe UI"/>
                <w:sz w:val="24"/>
                <w:szCs w:val="24"/>
              </w:rPr>
              <w:t xml:space="preserve"> zone around the site boundary.</w:t>
            </w:r>
          </w:p>
        </w:tc>
        <w:tc>
          <w:tcPr>
            <w:tcW w:w="1230" w:type="pct"/>
            <w:hideMark/>
          </w:tcPr>
          <w:p w14:paraId="410FC91A"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This recommendation was directed to the Municipality of Clarington.</w:t>
            </w:r>
          </w:p>
        </w:tc>
        <w:tc>
          <w:tcPr>
            <w:tcW w:w="1648" w:type="pct"/>
            <w:noWrap/>
            <w:hideMark/>
          </w:tcPr>
          <w:p w14:paraId="15A2C663"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20A17293"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Complete</w:t>
            </w:r>
          </w:p>
        </w:tc>
      </w:tr>
      <w:tr w:rsidR="00E92B8A" w:rsidRPr="000B7710" w14:paraId="20DC40E1" w14:textId="77777777" w:rsidTr="000B7710">
        <w:trPr>
          <w:trHeight w:val="1500"/>
        </w:trPr>
        <w:tc>
          <w:tcPr>
            <w:tcW w:w="301" w:type="pct"/>
            <w:noWrap/>
            <w:hideMark/>
          </w:tcPr>
          <w:p w14:paraId="7C37DEB3"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46</w:t>
            </w:r>
          </w:p>
        </w:tc>
        <w:tc>
          <w:tcPr>
            <w:tcW w:w="1022" w:type="pct"/>
            <w:hideMark/>
          </w:tcPr>
          <w:p w14:paraId="06677BA2"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Given that a severe accident may have consequences beyond the three and 10-kilometre zones evaluated by OPG, the Panel recommends that the Government of Ontario, on an ongoing basis, review the emergency planning zones and the emergency preparedness and response measures, as defined in the Provincial Nuclear Emergency Response Plan (PNERP), to protect human health and safety.</w:t>
            </w:r>
          </w:p>
        </w:tc>
        <w:tc>
          <w:tcPr>
            <w:tcW w:w="1230" w:type="pct"/>
            <w:hideMark/>
          </w:tcPr>
          <w:p w14:paraId="4AFE9A0B"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This recommendation was directed to the Government of Ontario.</w:t>
            </w:r>
          </w:p>
        </w:tc>
        <w:tc>
          <w:tcPr>
            <w:tcW w:w="1648" w:type="pct"/>
            <w:noWrap/>
            <w:hideMark/>
          </w:tcPr>
          <w:p w14:paraId="24686792"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545A2221"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Complete</w:t>
            </w:r>
          </w:p>
        </w:tc>
      </w:tr>
      <w:tr w:rsidR="00E92B8A" w:rsidRPr="000B7710" w14:paraId="181F8E02" w14:textId="77777777" w:rsidTr="000B7710">
        <w:trPr>
          <w:trHeight w:val="2700"/>
        </w:trPr>
        <w:tc>
          <w:tcPr>
            <w:tcW w:w="301" w:type="pct"/>
            <w:noWrap/>
            <w:hideMark/>
          </w:tcPr>
          <w:p w14:paraId="3CB1B900"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47</w:t>
            </w:r>
          </w:p>
        </w:tc>
        <w:tc>
          <w:tcPr>
            <w:tcW w:w="1022" w:type="pct"/>
            <w:hideMark/>
          </w:tcPr>
          <w:p w14:paraId="091316DC"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prior to site preparation, the Canadian Nuclear Safety Commission ensure the OPG Traffic Management Plan addresses the following:</w:t>
            </w:r>
          </w:p>
          <w:p w14:paraId="3C60B1F1"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contingency plans to address the possibility that the assumed road improvements do not occur; </w:t>
            </w:r>
          </w:p>
          <w:p w14:paraId="649730FB"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consideration of the effect of truck traffic associated with excavated material disposal on traffic operations and safety; </w:t>
            </w:r>
          </w:p>
          <w:p w14:paraId="173F0380"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further analysis of queuing potential onto Highway 401; and </w:t>
            </w:r>
          </w:p>
          <w:p w14:paraId="6775F1B5"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consideration of a wider range of mitigation measures, such as transportation-demand management, transit service provisions and geometric improvements at the Highway 401/Waverley Road interchange. </w:t>
            </w:r>
          </w:p>
        </w:tc>
        <w:tc>
          <w:tcPr>
            <w:tcW w:w="1230" w:type="pct"/>
            <w:hideMark/>
          </w:tcPr>
          <w:p w14:paraId="32C68D0A"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this recommendation to require that OPG's Traffic Management Plan consider elements related to contingency plans, truck traffic, queuing potential on Highway 401 and additional mitigation measures.</w:t>
            </w:r>
          </w:p>
        </w:tc>
        <w:tc>
          <w:tcPr>
            <w:tcW w:w="1648" w:type="pct"/>
            <w:noWrap/>
            <w:hideMark/>
          </w:tcPr>
          <w:p w14:paraId="061D7BC6"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D-P-10.1</w:t>
            </w:r>
          </w:p>
        </w:tc>
        <w:tc>
          <w:tcPr>
            <w:tcW w:w="799" w:type="pct"/>
            <w:noWrap/>
            <w:hideMark/>
          </w:tcPr>
          <w:p w14:paraId="342204D1"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Closed</w:t>
            </w:r>
          </w:p>
        </w:tc>
      </w:tr>
      <w:tr w:rsidR="00E92B8A" w:rsidRPr="000B7710" w14:paraId="7756FDC7" w14:textId="77777777" w:rsidTr="000B7710">
        <w:trPr>
          <w:trHeight w:val="1200"/>
        </w:trPr>
        <w:tc>
          <w:tcPr>
            <w:tcW w:w="301" w:type="pct"/>
            <w:noWrap/>
            <w:hideMark/>
          </w:tcPr>
          <w:p w14:paraId="0D97B287"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48</w:t>
            </w:r>
          </w:p>
        </w:tc>
        <w:tc>
          <w:tcPr>
            <w:tcW w:w="1022" w:type="pct"/>
            <w:hideMark/>
          </w:tcPr>
          <w:p w14:paraId="0FA8A9AE"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In consideration of public safety, the Panel recommends that prior to site preparation, the Canadian Nuclear Safety Commission coordinate a committee of federal, </w:t>
            </w:r>
            <w:proofErr w:type="gramStart"/>
            <w:r w:rsidRPr="00C150DB">
              <w:rPr>
                <w:rFonts w:ascii="Segoe UI" w:eastAsia="Times New Roman" w:hAnsi="Segoe UI" w:cs="Segoe UI"/>
                <w:sz w:val="24"/>
                <w:szCs w:val="24"/>
              </w:rPr>
              <w:t>provincial</w:t>
            </w:r>
            <w:proofErr w:type="gramEnd"/>
            <w:r w:rsidRPr="00C150DB">
              <w:rPr>
                <w:rFonts w:ascii="Segoe UI" w:eastAsia="Times New Roman" w:hAnsi="Segoe UI" w:cs="Segoe UI"/>
                <w:sz w:val="24"/>
                <w:szCs w:val="24"/>
              </w:rPr>
              <w:t xml:space="preserve"> and municipal transport authorities to review the need for road development and modifications.</w:t>
            </w:r>
          </w:p>
        </w:tc>
        <w:tc>
          <w:tcPr>
            <w:tcW w:w="1230" w:type="pct"/>
            <w:hideMark/>
          </w:tcPr>
          <w:p w14:paraId="54823A5F"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The Government of Canada accepts the intent of this recommendation to support a federal, </w:t>
            </w:r>
            <w:proofErr w:type="gramStart"/>
            <w:r w:rsidRPr="00C150DB">
              <w:rPr>
                <w:rFonts w:ascii="Segoe UI" w:eastAsia="Times New Roman" w:hAnsi="Segoe UI" w:cs="Segoe UI"/>
                <w:sz w:val="24"/>
                <w:szCs w:val="24"/>
              </w:rPr>
              <w:t>provincial</w:t>
            </w:r>
            <w:proofErr w:type="gramEnd"/>
            <w:r w:rsidRPr="00C150DB">
              <w:rPr>
                <w:rFonts w:ascii="Segoe UI" w:eastAsia="Times New Roman" w:hAnsi="Segoe UI" w:cs="Segoe UI"/>
                <w:sz w:val="24"/>
                <w:szCs w:val="24"/>
              </w:rPr>
              <w:t xml:space="preserve"> and municipal review of the need for road development and modifications, however, notes that this review may be performed concurrently with site preparation activities.</w:t>
            </w:r>
          </w:p>
        </w:tc>
        <w:tc>
          <w:tcPr>
            <w:tcW w:w="1648" w:type="pct"/>
            <w:noWrap/>
            <w:hideMark/>
          </w:tcPr>
          <w:p w14:paraId="23063743"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4082DCA2"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Not Initiated</w:t>
            </w:r>
          </w:p>
        </w:tc>
      </w:tr>
      <w:tr w:rsidR="00E92B8A" w:rsidRPr="000B7710" w14:paraId="0E8A0677" w14:textId="77777777" w:rsidTr="000B7710">
        <w:trPr>
          <w:trHeight w:val="2700"/>
        </w:trPr>
        <w:tc>
          <w:tcPr>
            <w:tcW w:w="301" w:type="pct"/>
            <w:noWrap/>
            <w:hideMark/>
          </w:tcPr>
          <w:p w14:paraId="5F52ADB5"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49</w:t>
            </w:r>
          </w:p>
        </w:tc>
        <w:tc>
          <w:tcPr>
            <w:tcW w:w="1022" w:type="pct"/>
            <w:hideMark/>
          </w:tcPr>
          <w:p w14:paraId="01DEE0AF"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prior to construction, Transport Canada ensure that OPG undertake additional quantitative analysis, including collision frequencies and rail crossing exposure indices, and monitor the potential effects and need for mitigation associated with the Project.</w:t>
            </w:r>
          </w:p>
        </w:tc>
        <w:tc>
          <w:tcPr>
            <w:tcW w:w="1230" w:type="pct"/>
            <w:hideMark/>
          </w:tcPr>
          <w:p w14:paraId="5E5E4A93"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the intent of this recommendation to require OPG to undertake additional rail safety studies, monitor the potential effects and determine the need for mitigation. The Railway Safety Act (RSA) places crossing safety responsibilities on the Railways and the Road Authorities. This policy reflects the objectives of Section 3 of the RSA.</w:t>
            </w:r>
            <w:r w:rsidRPr="00C150DB">
              <w:rPr>
                <w:rFonts w:ascii="Segoe UI" w:eastAsia="Times New Roman" w:hAnsi="Segoe UI" w:cs="Segoe UI"/>
                <w:sz w:val="24"/>
                <w:szCs w:val="24"/>
              </w:rPr>
              <w:br/>
              <w:t xml:space="preserve">Ultimately, the Railway and the Road Authority must take the responsibility of performing the crossing assessment. Transport Canada is committed to </w:t>
            </w:r>
            <w:proofErr w:type="gramStart"/>
            <w:r w:rsidRPr="00C150DB">
              <w:rPr>
                <w:rFonts w:ascii="Segoe UI" w:eastAsia="Times New Roman" w:hAnsi="Segoe UI" w:cs="Segoe UI"/>
                <w:sz w:val="24"/>
                <w:szCs w:val="24"/>
              </w:rPr>
              <w:t>provide assistance</w:t>
            </w:r>
            <w:proofErr w:type="gramEnd"/>
            <w:r w:rsidRPr="00C150DB">
              <w:rPr>
                <w:rFonts w:ascii="Segoe UI" w:eastAsia="Times New Roman" w:hAnsi="Segoe UI" w:cs="Segoe UI"/>
                <w:sz w:val="24"/>
                <w:szCs w:val="24"/>
              </w:rPr>
              <w:t xml:space="preserve"> and expertise to the interested parties if required during the risk assessment and in the evaluation of any proposed mitigation measures.</w:t>
            </w:r>
          </w:p>
        </w:tc>
        <w:tc>
          <w:tcPr>
            <w:tcW w:w="1648" w:type="pct"/>
            <w:noWrap/>
            <w:hideMark/>
          </w:tcPr>
          <w:p w14:paraId="625FE1AA"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D-C-3.1</w:t>
            </w:r>
          </w:p>
        </w:tc>
        <w:tc>
          <w:tcPr>
            <w:tcW w:w="799" w:type="pct"/>
            <w:noWrap/>
            <w:hideMark/>
          </w:tcPr>
          <w:p w14:paraId="136115B2"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Open</w:t>
            </w:r>
          </w:p>
        </w:tc>
      </w:tr>
      <w:tr w:rsidR="00E92B8A" w:rsidRPr="000B7710" w14:paraId="5A7B7A4B" w14:textId="77777777" w:rsidTr="000B7710">
        <w:trPr>
          <w:trHeight w:val="913"/>
        </w:trPr>
        <w:tc>
          <w:tcPr>
            <w:tcW w:w="301" w:type="pct"/>
            <w:noWrap/>
            <w:hideMark/>
          </w:tcPr>
          <w:p w14:paraId="6026AA91"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50</w:t>
            </w:r>
          </w:p>
        </w:tc>
        <w:tc>
          <w:tcPr>
            <w:tcW w:w="1022" w:type="pct"/>
            <w:hideMark/>
          </w:tcPr>
          <w:p w14:paraId="466A6460"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prior to construction, Transport Canada require OPG to conduct a risk assessment, jointly with Canadian National Railway, that includes:</w:t>
            </w:r>
          </w:p>
          <w:p w14:paraId="7A999FB2"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an assessment of the risks associated with a derailment or other rail incident that could affect the Project; </w:t>
            </w:r>
          </w:p>
          <w:p w14:paraId="72907449"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an analysis of the risks associated with a security threat, such as a bomb being placed on a train running on the tracks that bisect the Project; </w:t>
            </w:r>
          </w:p>
          <w:p w14:paraId="2ACA01D7"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a comparative evaluation of the effectiveness of various mitigation measures or combination of measures (e.g., blast wall, retaining wall, recessed tracks, berm and railway speed restrictions within the vicinity of the site</w:t>
            </w:r>
            <w:proofErr w:type="gramStart"/>
            <w:r w:rsidRPr="00C150DB">
              <w:rPr>
                <w:rFonts w:ascii="Segoe UI" w:eastAsia="Times New Roman" w:hAnsi="Segoe UI" w:cs="Segoe UI"/>
                <w:sz w:val="24"/>
                <w:szCs w:val="24"/>
              </w:rPr>
              <w:t>);</w:t>
            </w:r>
            <w:proofErr w:type="gramEnd"/>
            <w:r w:rsidRPr="00C150DB">
              <w:rPr>
                <w:rFonts w:ascii="Segoe UI" w:eastAsia="Times New Roman" w:hAnsi="Segoe UI" w:cs="Segoe UI"/>
                <w:sz w:val="24"/>
                <w:szCs w:val="24"/>
              </w:rPr>
              <w:t xml:space="preserve"> </w:t>
            </w:r>
          </w:p>
          <w:p w14:paraId="22B56F8C"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a determination of the design criteria necessary to ensure the effectiveness of these measures (e.g., the appropriate height, strength, </w:t>
            </w:r>
            <w:proofErr w:type="gramStart"/>
            <w:r w:rsidRPr="00C150DB">
              <w:rPr>
                <w:rFonts w:ascii="Segoe UI" w:eastAsia="Times New Roman" w:hAnsi="Segoe UI" w:cs="Segoe UI"/>
                <w:sz w:val="24"/>
                <w:szCs w:val="24"/>
              </w:rPr>
              <w:t>material</w:t>
            </w:r>
            <w:proofErr w:type="gramEnd"/>
            <w:r w:rsidRPr="00C150DB">
              <w:rPr>
                <w:rFonts w:ascii="Segoe UI" w:eastAsia="Times New Roman" w:hAnsi="Segoe UI" w:cs="Segoe UI"/>
                <w:sz w:val="24"/>
                <w:szCs w:val="24"/>
              </w:rPr>
              <w:t xml:space="preserve"> and design of a blast wall); and </w:t>
            </w:r>
          </w:p>
          <w:p w14:paraId="25850A8E"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a critical analysis to confirm that these measures, when properly designed and implemented, would be sufficient to provide protection to the Project site in the event of a derailment at full speed or </w:t>
            </w:r>
            <w:proofErr w:type="gramStart"/>
            <w:r w:rsidRPr="00C150DB">
              <w:rPr>
                <w:rFonts w:ascii="Segoe UI" w:eastAsia="Times New Roman" w:hAnsi="Segoe UI" w:cs="Segoe UI"/>
                <w:sz w:val="24"/>
                <w:szCs w:val="24"/>
              </w:rPr>
              <w:t>other</w:t>
            </w:r>
            <w:proofErr w:type="gramEnd"/>
            <w:r w:rsidRPr="00C150DB">
              <w:rPr>
                <w:rFonts w:ascii="Segoe UI" w:eastAsia="Times New Roman" w:hAnsi="Segoe UI" w:cs="Segoe UI"/>
                <w:sz w:val="24"/>
                <w:szCs w:val="24"/>
              </w:rPr>
              <w:t xml:space="preserve"> adverse event. </w:t>
            </w:r>
          </w:p>
        </w:tc>
        <w:tc>
          <w:tcPr>
            <w:tcW w:w="1230" w:type="pct"/>
            <w:hideMark/>
          </w:tcPr>
          <w:p w14:paraId="7BF2A201"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recognizes that the CNSC has the statutory authority and powers to address this recommendation through future regulatory activities under the Nuclear Safety and Control Act.</w:t>
            </w:r>
            <w:r w:rsidRPr="00C150DB">
              <w:rPr>
                <w:rFonts w:ascii="Segoe UI" w:eastAsia="Times New Roman" w:hAnsi="Segoe UI" w:cs="Segoe UI"/>
                <w:sz w:val="24"/>
                <w:szCs w:val="24"/>
              </w:rPr>
              <w:br/>
              <w:t xml:space="preserve">Transport Canada is committed to </w:t>
            </w:r>
            <w:proofErr w:type="gramStart"/>
            <w:r w:rsidRPr="00C150DB">
              <w:rPr>
                <w:rFonts w:ascii="Segoe UI" w:eastAsia="Times New Roman" w:hAnsi="Segoe UI" w:cs="Segoe UI"/>
                <w:sz w:val="24"/>
                <w:szCs w:val="24"/>
              </w:rPr>
              <w:t>provide assistance</w:t>
            </w:r>
            <w:proofErr w:type="gramEnd"/>
            <w:r w:rsidRPr="00C150DB">
              <w:rPr>
                <w:rFonts w:ascii="Segoe UI" w:eastAsia="Times New Roman" w:hAnsi="Segoe UI" w:cs="Segoe UI"/>
                <w:sz w:val="24"/>
                <w:szCs w:val="24"/>
              </w:rPr>
              <w:t xml:space="preserve"> and expertise to the Canadian Nuclear Safety Commission and other parties if required during the risk assessment and in the evaluation of any proposed mitigation measures.</w:t>
            </w:r>
          </w:p>
        </w:tc>
        <w:tc>
          <w:tcPr>
            <w:tcW w:w="1648" w:type="pct"/>
            <w:noWrap/>
            <w:hideMark/>
          </w:tcPr>
          <w:p w14:paraId="263DF7F3"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D-C-3.1</w:t>
            </w:r>
          </w:p>
        </w:tc>
        <w:tc>
          <w:tcPr>
            <w:tcW w:w="799" w:type="pct"/>
            <w:noWrap/>
            <w:hideMark/>
          </w:tcPr>
          <w:p w14:paraId="325DFB39"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Open</w:t>
            </w:r>
          </w:p>
        </w:tc>
      </w:tr>
      <w:tr w:rsidR="00E92B8A" w:rsidRPr="000B7710" w14:paraId="1B36FC9C" w14:textId="77777777" w:rsidTr="000B7710">
        <w:trPr>
          <w:trHeight w:val="1500"/>
        </w:trPr>
        <w:tc>
          <w:tcPr>
            <w:tcW w:w="301" w:type="pct"/>
            <w:noWrap/>
            <w:hideMark/>
          </w:tcPr>
          <w:p w14:paraId="4E0F7F1D"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51</w:t>
            </w:r>
          </w:p>
        </w:tc>
        <w:tc>
          <w:tcPr>
            <w:tcW w:w="1022" w:type="pct"/>
            <w:hideMark/>
          </w:tcPr>
          <w:p w14:paraId="438C5CA4" w14:textId="77777777" w:rsidR="00E92B8A" w:rsidRPr="00C150DB" w:rsidRDefault="00E92B8A" w:rsidP="00C150DB">
            <w:pPr>
              <w:spacing w:before="160"/>
              <w:rPr>
                <w:rFonts w:ascii="Segoe UI" w:eastAsia="Times New Roman" w:hAnsi="Segoe UI" w:cs="Segoe UI"/>
                <w:sz w:val="24"/>
                <w:szCs w:val="24"/>
              </w:rPr>
            </w:pPr>
            <w:proofErr w:type="gramStart"/>
            <w:r w:rsidRPr="00C150DB">
              <w:rPr>
                <w:rFonts w:ascii="Segoe UI" w:eastAsia="Times New Roman" w:hAnsi="Segoe UI" w:cs="Segoe UI"/>
                <w:sz w:val="24"/>
                <w:szCs w:val="24"/>
              </w:rPr>
              <w:t>In the event that</w:t>
            </w:r>
            <w:proofErr w:type="gramEnd"/>
            <w:r w:rsidRPr="00C150DB">
              <w:rPr>
                <w:rFonts w:ascii="Segoe UI" w:eastAsia="Times New Roman" w:hAnsi="Segoe UI" w:cs="Segoe UI"/>
                <w:sz w:val="24"/>
                <w:szCs w:val="24"/>
              </w:rPr>
              <w:t xml:space="preserve"> a once-through condenser cooling system is chosen for the Project, the Panel recommends that prior to construction, Transport Canada work with OPG to develop a follow-up program to verify the accuracy of the prediction of no significant adverse effects to boating safety from the establishment of an increased prohibitive zone. OPG must also develop an adaptive management program, if required, to mitigate potential effects to small watercraft.</w:t>
            </w:r>
          </w:p>
        </w:tc>
        <w:tc>
          <w:tcPr>
            <w:tcW w:w="1230" w:type="pct"/>
            <w:hideMark/>
          </w:tcPr>
          <w:p w14:paraId="7ACAE900"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the intent of this recommendation. Transport Canada will provide guidance and support to OPG to assist in their development of a follow-up program to confirm that boating safety will not be significantly adversely affected. If an adaptive management program is required, Transport Canada can provide support and expertise to OPG in its development.</w:t>
            </w:r>
          </w:p>
        </w:tc>
        <w:tc>
          <w:tcPr>
            <w:tcW w:w="1648" w:type="pct"/>
            <w:noWrap/>
            <w:hideMark/>
          </w:tcPr>
          <w:p w14:paraId="555994A4"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D-P-12.8</w:t>
            </w:r>
          </w:p>
        </w:tc>
        <w:tc>
          <w:tcPr>
            <w:tcW w:w="799" w:type="pct"/>
            <w:noWrap/>
            <w:hideMark/>
          </w:tcPr>
          <w:p w14:paraId="68A84A4B"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Closed</w:t>
            </w:r>
          </w:p>
        </w:tc>
      </w:tr>
      <w:tr w:rsidR="00E92B8A" w:rsidRPr="000B7710" w14:paraId="07D082BB" w14:textId="77777777" w:rsidTr="000B7710">
        <w:trPr>
          <w:trHeight w:val="1800"/>
        </w:trPr>
        <w:tc>
          <w:tcPr>
            <w:tcW w:w="301" w:type="pct"/>
            <w:noWrap/>
            <w:hideMark/>
          </w:tcPr>
          <w:p w14:paraId="2785AC96"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52</w:t>
            </w:r>
          </w:p>
        </w:tc>
        <w:tc>
          <w:tcPr>
            <w:tcW w:w="1022" w:type="pct"/>
            <w:hideMark/>
          </w:tcPr>
          <w:p w14:paraId="4E3ACE02"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The Panel recommends that prior to construction, the Canadian Nuclear Safety Commission require OPG to make provisions for on-site storage of all used fuel for the duration of the Project, </w:t>
            </w:r>
            <w:proofErr w:type="gramStart"/>
            <w:r w:rsidRPr="00C150DB">
              <w:rPr>
                <w:rFonts w:ascii="Segoe UI" w:eastAsia="Times New Roman" w:hAnsi="Segoe UI" w:cs="Segoe UI"/>
                <w:sz w:val="24"/>
                <w:szCs w:val="24"/>
              </w:rPr>
              <w:t>in the event that</w:t>
            </w:r>
            <w:proofErr w:type="gramEnd"/>
            <w:r w:rsidRPr="00C150DB">
              <w:rPr>
                <w:rFonts w:ascii="Segoe UI" w:eastAsia="Times New Roman" w:hAnsi="Segoe UI" w:cs="Segoe UI"/>
                <w:sz w:val="24"/>
                <w:szCs w:val="24"/>
              </w:rPr>
              <w:t xml:space="preserve"> a suitable off-site solution for the long-term management for used fuel waste is not found.</w:t>
            </w:r>
          </w:p>
        </w:tc>
        <w:tc>
          <w:tcPr>
            <w:tcW w:w="1230" w:type="pct"/>
            <w:hideMark/>
          </w:tcPr>
          <w:p w14:paraId="40FE028F"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the intent of this recommendation to the extent that it is the responsibility of waste owners for managing and funding the safe and secure operation of their own wastes. Canada’s 1996 Radioactive Waste Policy Framework states that the owners of radioactive waste are responsible for developing and implementing solutions, including all costs associated with safely and securely managing their wastes.</w:t>
            </w:r>
          </w:p>
        </w:tc>
        <w:tc>
          <w:tcPr>
            <w:tcW w:w="1648" w:type="pct"/>
            <w:noWrap/>
            <w:hideMark/>
          </w:tcPr>
          <w:p w14:paraId="6BB50E00"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D-C-9.1</w:t>
            </w:r>
          </w:p>
        </w:tc>
        <w:tc>
          <w:tcPr>
            <w:tcW w:w="799" w:type="pct"/>
            <w:noWrap/>
            <w:hideMark/>
          </w:tcPr>
          <w:p w14:paraId="1BE6FEFA"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Open</w:t>
            </w:r>
          </w:p>
        </w:tc>
      </w:tr>
      <w:tr w:rsidR="00E92B8A" w:rsidRPr="000B7710" w14:paraId="77D865A9" w14:textId="77777777" w:rsidTr="000B7710">
        <w:trPr>
          <w:trHeight w:val="2100"/>
        </w:trPr>
        <w:tc>
          <w:tcPr>
            <w:tcW w:w="301" w:type="pct"/>
            <w:noWrap/>
            <w:hideMark/>
          </w:tcPr>
          <w:p w14:paraId="65340577"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53</w:t>
            </w:r>
          </w:p>
        </w:tc>
        <w:tc>
          <w:tcPr>
            <w:tcW w:w="1022" w:type="pct"/>
            <w:hideMark/>
          </w:tcPr>
          <w:p w14:paraId="17C295A7"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The Panel recommends that prior to construction, the Canadian Nuclear Safety Commission require OPG to make provisions for on-site storage of </w:t>
            </w:r>
            <w:proofErr w:type="gramStart"/>
            <w:r w:rsidRPr="00C150DB">
              <w:rPr>
                <w:rFonts w:ascii="Segoe UI" w:eastAsia="Times New Roman" w:hAnsi="Segoe UI" w:cs="Segoe UI"/>
                <w:sz w:val="24"/>
                <w:szCs w:val="24"/>
              </w:rPr>
              <w:t>all of</w:t>
            </w:r>
            <w:proofErr w:type="gramEnd"/>
            <w:r w:rsidRPr="00C150DB">
              <w:rPr>
                <w:rFonts w:ascii="Segoe UI" w:eastAsia="Times New Roman" w:hAnsi="Segoe UI" w:cs="Segoe UI"/>
                <w:sz w:val="24"/>
                <w:szCs w:val="24"/>
              </w:rPr>
              <w:t xml:space="preserve"> low and intermediate-level radioactive waste for the duration of the Project, in the event that a suitable off-site solution for the long-term management for this waste is not approved.</w:t>
            </w:r>
          </w:p>
        </w:tc>
        <w:tc>
          <w:tcPr>
            <w:tcW w:w="1230" w:type="pct"/>
            <w:hideMark/>
          </w:tcPr>
          <w:p w14:paraId="1EF3DEF8"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the intent of this recommendation to the extent that it is the responsibility of waste owners for managing and funding the safe and secure operation of their own wastes, in accordance with CNSC's regulatory requirements. Canada’s 1996 Radioactive Waste Policy Framework states that the owners of radioactive waste are responsible for developing and implementing solutions, including all costs associated with safely and securely managing their wastes.</w:t>
            </w:r>
          </w:p>
        </w:tc>
        <w:tc>
          <w:tcPr>
            <w:tcW w:w="1648" w:type="pct"/>
            <w:noWrap/>
            <w:hideMark/>
          </w:tcPr>
          <w:p w14:paraId="0CBD8585"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D-C-9.1</w:t>
            </w:r>
          </w:p>
        </w:tc>
        <w:tc>
          <w:tcPr>
            <w:tcW w:w="799" w:type="pct"/>
            <w:noWrap/>
            <w:hideMark/>
          </w:tcPr>
          <w:p w14:paraId="5DB80659"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Open</w:t>
            </w:r>
          </w:p>
        </w:tc>
      </w:tr>
      <w:tr w:rsidR="00E92B8A" w:rsidRPr="000B7710" w14:paraId="4AB0B8BA" w14:textId="77777777" w:rsidTr="000B7710">
        <w:trPr>
          <w:trHeight w:val="5100"/>
        </w:trPr>
        <w:tc>
          <w:tcPr>
            <w:tcW w:w="301" w:type="pct"/>
            <w:noWrap/>
            <w:hideMark/>
          </w:tcPr>
          <w:p w14:paraId="43C102B9"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54</w:t>
            </w:r>
          </w:p>
        </w:tc>
        <w:tc>
          <w:tcPr>
            <w:tcW w:w="1022" w:type="pct"/>
            <w:hideMark/>
          </w:tcPr>
          <w:p w14:paraId="5E9256A3"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during operation, the Canadian Nuclear Safety Commission require OPG to implement measures to manage releases from the Project to avoid tritium in drinking water levels exceeding a running annual average of 20 Becquerels per litre at drinking water supply plants in the regional study area.</w:t>
            </w:r>
          </w:p>
        </w:tc>
        <w:tc>
          <w:tcPr>
            <w:tcW w:w="1230" w:type="pct"/>
            <w:hideMark/>
          </w:tcPr>
          <w:p w14:paraId="2F12867B"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The Government of Canada accepts the intent of this recommendation to safeguard drinking water; however, it notes that any proposed limits should be consistent with the tritium standards put in place by the relevant regulatory authorities. Health Canada's Guidelines for Canadian Drinking Water Quality, based on the recommendations of the International Commission on Radiological Protection and the World Health Organization, establish a safe consumption guideline limit of 7,000 </w:t>
            </w:r>
            <w:proofErr w:type="spellStart"/>
            <w:r w:rsidRPr="00C150DB">
              <w:rPr>
                <w:rFonts w:ascii="Segoe UI" w:eastAsia="Times New Roman" w:hAnsi="Segoe UI" w:cs="Segoe UI"/>
                <w:sz w:val="24"/>
                <w:szCs w:val="24"/>
              </w:rPr>
              <w:t>Bq</w:t>
            </w:r>
            <w:proofErr w:type="spellEnd"/>
            <w:r w:rsidRPr="00C150DB">
              <w:rPr>
                <w:rFonts w:ascii="Segoe UI" w:eastAsia="Times New Roman" w:hAnsi="Segoe UI" w:cs="Segoe UI"/>
                <w:sz w:val="24"/>
                <w:szCs w:val="24"/>
              </w:rPr>
              <w:t>/L for tritium in drinking water. This limit has been accepted as a standard by the Province of Ontario. Since water quality is primarily a provincial responsibility in Canada, the provinces may adopt federal guidelines, or may establish their own criteria.</w:t>
            </w:r>
            <w:r w:rsidRPr="00C150DB">
              <w:rPr>
                <w:rFonts w:ascii="Segoe UI" w:eastAsia="Times New Roman" w:hAnsi="Segoe UI" w:cs="Segoe UI"/>
                <w:sz w:val="24"/>
                <w:szCs w:val="24"/>
              </w:rPr>
              <w:br/>
              <w:t xml:space="preserve">The Government of Canada further notes that the Canadian Nuclear Safety Commission regulates potential releases of tritium to the environment from nuclear facilities by imposing regulatory limits as well as precautionary action levels for tritium releases into air or water on a licence-specific basis. These limits are set with a goal to protect human health. The Canadian Nuclear Safety Commission's Radiation Protection Regulations require that releases are kept "As Low </w:t>
            </w:r>
            <w:proofErr w:type="gramStart"/>
            <w:r w:rsidRPr="00C150DB">
              <w:rPr>
                <w:rFonts w:ascii="Segoe UI" w:eastAsia="Times New Roman" w:hAnsi="Segoe UI" w:cs="Segoe UI"/>
                <w:sz w:val="24"/>
                <w:szCs w:val="24"/>
              </w:rPr>
              <w:t>As</w:t>
            </w:r>
            <w:proofErr w:type="gramEnd"/>
            <w:r w:rsidRPr="00C150DB">
              <w:rPr>
                <w:rFonts w:ascii="Segoe UI" w:eastAsia="Times New Roman" w:hAnsi="Segoe UI" w:cs="Segoe UI"/>
                <w:sz w:val="24"/>
                <w:szCs w:val="24"/>
              </w:rPr>
              <w:t xml:space="preserve"> Reasonably Achievable" (ALARA), social and economic factors taken into account.</w:t>
            </w:r>
          </w:p>
        </w:tc>
        <w:tc>
          <w:tcPr>
            <w:tcW w:w="1648" w:type="pct"/>
            <w:noWrap/>
            <w:hideMark/>
          </w:tcPr>
          <w:p w14:paraId="74BDD94C"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D-C-4.1</w:t>
            </w:r>
          </w:p>
        </w:tc>
        <w:tc>
          <w:tcPr>
            <w:tcW w:w="799" w:type="pct"/>
            <w:noWrap/>
            <w:hideMark/>
          </w:tcPr>
          <w:p w14:paraId="324636CA"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Open</w:t>
            </w:r>
          </w:p>
        </w:tc>
      </w:tr>
      <w:tr w:rsidR="00E92B8A" w:rsidRPr="000B7710" w14:paraId="75E019BF" w14:textId="77777777" w:rsidTr="000B7710">
        <w:trPr>
          <w:trHeight w:val="3900"/>
        </w:trPr>
        <w:tc>
          <w:tcPr>
            <w:tcW w:w="301" w:type="pct"/>
            <w:noWrap/>
            <w:hideMark/>
          </w:tcPr>
          <w:p w14:paraId="78AB8D23"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55</w:t>
            </w:r>
          </w:p>
        </w:tc>
        <w:tc>
          <w:tcPr>
            <w:tcW w:w="1022" w:type="pct"/>
            <w:hideMark/>
          </w:tcPr>
          <w:p w14:paraId="68526230"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Health Canada and the Canadian Nuclear Safety Commission continue to participate in international studies seeking to identify long-term health effects of low-level radiation exposures, and to identify if there is a need for revision of limits specified in the Radiation Protection Regulations.</w:t>
            </w:r>
          </w:p>
        </w:tc>
        <w:tc>
          <w:tcPr>
            <w:tcW w:w="1230" w:type="pct"/>
            <w:hideMark/>
          </w:tcPr>
          <w:p w14:paraId="3B8DA99F" w14:textId="1580745E"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the recommendation to continue its participation in international studies seeking to identify long-term health effects of low-level radiation exposures.</w:t>
            </w:r>
            <w:r w:rsidRPr="00C150DB">
              <w:rPr>
                <w:rFonts w:ascii="Segoe UI" w:eastAsia="Times New Roman" w:hAnsi="Segoe UI" w:cs="Segoe UI"/>
                <w:sz w:val="24"/>
                <w:szCs w:val="24"/>
              </w:rPr>
              <w:br/>
              <w:t xml:space="preserve">The Government of Canada accepts the intent of the recommendation to identify if there is a need for revision of limits specified in the Radiation Protection Regulations based on the results of international studies. Health Canada and the Canadian Nuclear Safety Commission will continue to participate in international studies dealing with long-term health effects of low-level radiation exposures; participate in committees/working groups with relevant international organizations; </w:t>
            </w:r>
            <w:r w:rsidR="009D7B56" w:rsidRPr="00C150DB">
              <w:rPr>
                <w:rFonts w:ascii="Segoe UI" w:eastAsia="Times New Roman" w:hAnsi="Segoe UI" w:cs="Segoe UI"/>
                <w:sz w:val="24"/>
                <w:szCs w:val="24"/>
              </w:rPr>
              <w:t>and</w:t>
            </w:r>
            <w:r w:rsidRPr="00C150DB">
              <w:rPr>
                <w:rFonts w:ascii="Segoe UI" w:eastAsia="Times New Roman" w:hAnsi="Segoe UI" w:cs="Segoe UI"/>
                <w:sz w:val="24"/>
                <w:szCs w:val="24"/>
              </w:rPr>
              <w:t xml:space="preserve"> regularly review the reports published by these international groups for developments in radiation protection. Health Canada can provide expertise to the Canadian Nuclear Safety Commission, upon request, in support of the review of limits specified in the Radiation Protection Regulations.</w:t>
            </w:r>
          </w:p>
        </w:tc>
        <w:tc>
          <w:tcPr>
            <w:tcW w:w="1648" w:type="pct"/>
            <w:noWrap/>
            <w:hideMark/>
          </w:tcPr>
          <w:p w14:paraId="44B11EF7"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59FDBA47"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Initiated</w:t>
            </w:r>
          </w:p>
        </w:tc>
      </w:tr>
      <w:tr w:rsidR="00E92B8A" w:rsidRPr="000B7710" w14:paraId="61245B49" w14:textId="77777777" w:rsidTr="000B7710">
        <w:trPr>
          <w:trHeight w:val="1500"/>
        </w:trPr>
        <w:tc>
          <w:tcPr>
            <w:tcW w:w="301" w:type="pct"/>
            <w:noWrap/>
            <w:hideMark/>
          </w:tcPr>
          <w:p w14:paraId="31489A11"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56</w:t>
            </w:r>
          </w:p>
        </w:tc>
        <w:tc>
          <w:tcPr>
            <w:tcW w:w="1022" w:type="pct"/>
            <w:hideMark/>
          </w:tcPr>
          <w:p w14:paraId="494B4462"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over the life of the Project, the Canadian Nuclear Safety Commission require OPG to conduct ambient air monitoring in the local study area on an ongoing basis to ensure that air quality remains at levels that are not likely to cause adverse effects to human health.</w:t>
            </w:r>
          </w:p>
        </w:tc>
        <w:tc>
          <w:tcPr>
            <w:tcW w:w="1230" w:type="pct"/>
            <w:hideMark/>
          </w:tcPr>
          <w:p w14:paraId="678B4502"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this recommendation to require OPG to conduct ambient air monitoring to ensure that air quality is not likely to cause adverse effects to human health. Environment Canada can provide available scientific and technical expertise to the Canadian Nuclear Safety Commission, upon request, to assist in the implementation of this recommendation.</w:t>
            </w:r>
          </w:p>
        </w:tc>
        <w:tc>
          <w:tcPr>
            <w:tcW w:w="1648" w:type="pct"/>
            <w:noWrap/>
            <w:hideMark/>
          </w:tcPr>
          <w:p w14:paraId="64E33CA9"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D-P-12.2</w:t>
            </w:r>
          </w:p>
        </w:tc>
        <w:tc>
          <w:tcPr>
            <w:tcW w:w="799" w:type="pct"/>
            <w:noWrap/>
            <w:hideMark/>
          </w:tcPr>
          <w:p w14:paraId="7C9AFE8D"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Closed</w:t>
            </w:r>
          </w:p>
        </w:tc>
      </w:tr>
      <w:tr w:rsidR="00E92B8A" w:rsidRPr="000B7710" w14:paraId="2795C5AB" w14:textId="77777777" w:rsidTr="000B7710">
        <w:trPr>
          <w:trHeight w:val="1200"/>
        </w:trPr>
        <w:tc>
          <w:tcPr>
            <w:tcW w:w="301" w:type="pct"/>
            <w:noWrap/>
            <w:hideMark/>
          </w:tcPr>
          <w:p w14:paraId="4ACEE74B"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57</w:t>
            </w:r>
          </w:p>
        </w:tc>
        <w:tc>
          <w:tcPr>
            <w:tcW w:w="1022" w:type="pct"/>
            <w:hideMark/>
          </w:tcPr>
          <w:p w14:paraId="7E8C1809"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prior to construction, the Canadian Nuclear Safety Commission require OPG to undertake an assessment of the off-site effects of a severe accident. The assessment should determine if the off-site health and environmental effects considered in this environmental assessment bound the effects that could arise in the case of the selected reactor technology.</w:t>
            </w:r>
          </w:p>
        </w:tc>
        <w:tc>
          <w:tcPr>
            <w:tcW w:w="1230" w:type="pct"/>
            <w:hideMark/>
          </w:tcPr>
          <w:p w14:paraId="5F8311C5"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this recommendation to require OPG to undertake an assessment of the off-site effects of a severe accident. Environment Canada can provide available scientific and technical expertise to the Canadian Nuclear Safety Commission, upon request, to assist in the implementation of this recommendation.</w:t>
            </w:r>
          </w:p>
        </w:tc>
        <w:tc>
          <w:tcPr>
            <w:tcW w:w="1648" w:type="pct"/>
            <w:noWrap/>
            <w:hideMark/>
          </w:tcPr>
          <w:p w14:paraId="424DA030"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D-C-3.1</w:t>
            </w:r>
          </w:p>
        </w:tc>
        <w:tc>
          <w:tcPr>
            <w:tcW w:w="799" w:type="pct"/>
            <w:noWrap/>
            <w:hideMark/>
          </w:tcPr>
          <w:p w14:paraId="37072150"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Open</w:t>
            </w:r>
          </w:p>
        </w:tc>
      </w:tr>
      <w:tr w:rsidR="00E92B8A" w:rsidRPr="000B7710" w14:paraId="173CCC76" w14:textId="77777777" w:rsidTr="000B7710">
        <w:trPr>
          <w:trHeight w:val="900"/>
        </w:trPr>
        <w:tc>
          <w:tcPr>
            <w:tcW w:w="301" w:type="pct"/>
            <w:noWrap/>
            <w:hideMark/>
          </w:tcPr>
          <w:p w14:paraId="37CCEF2A"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58</w:t>
            </w:r>
          </w:p>
        </w:tc>
        <w:tc>
          <w:tcPr>
            <w:tcW w:w="1022" w:type="pct"/>
            <w:hideMark/>
          </w:tcPr>
          <w:p w14:paraId="4BFFE105"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prior to construction, the Canadian Nuclear Safety Commission confirm that dose acceptance criteria specified in RD-337 at the reactor site boundary—in the cases of design basis accidents for the Project’s selected reactor technology—will be met.</w:t>
            </w:r>
          </w:p>
        </w:tc>
        <w:tc>
          <w:tcPr>
            <w:tcW w:w="1230" w:type="pct"/>
            <w:hideMark/>
          </w:tcPr>
          <w:p w14:paraId="32685096"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this recommendation to ask the Canadian Nuclear Safety Commission to confirm that dose acceptance criteria specified in RD-337 will be met.</w:t>
            </w:r>
          </w:p>
        </w:tc>
        <w:tc>
          <w:tcPr>
            <w:tcW w:w="1648" w:type="pct"/>
            <w:noWrap/>
            <w:hideMark/>
          </w:tcPr>
          <w:p w14:paraId="66E8672D"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D-C-3.1</w:t>
            </w:r>
          </w:p>
        </w:tc>
        <w:tc>
          <w:tcPr>
            <w:tcW w:w="799" w:type="pct"/>
            <w:noWrap/>
            <w:hideMark/>
          </w:tcPr>
          <w:p w14:paraId="7CCB1DA2"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Open</w:t>
            </w:r>
          </w:p>
        </w:tc>
      </w:tr>
      <w:tr w:rsidR="00E92B8A" w:rsidRPr="000B7710" w14:paraId="4D96F51B" w14:textId="77777777" w:rsidTr="000B7710">
        <w:trPr>
          <w:trHeight w:val="900"/>
        </w:trPr>
        <w:tc>
          <w:tcPr>
            <w:tcW w:w="301" w:type="pct"/>
            <w:noWrap/>
            <w:hideMark/>
          </w:tcPr>
          <w:p w14:paraId="127C810B"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59</w:t>
            </w:r>
          </w:p>
        </w:tc>
        <w:tc>
          <w:tcPr>
            <w:tcW w:w="1022" w:type="pct"/>
            <w:hideMark/>
          </w:tcPr>
          <w:p w14:paraId="4D6F42FC"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the Municipality of Clarington manage development in the vicinity of the Project site to ensure that there is no deterioration in the capacity to evacuate members of the public for the protection of human health and safety.</w:t>
            </w:r>
          </w:p>
        </w:tc>
        <w:tc>
          <w:tcPr>
            <w:tcW w:w="1230" w:type="pct"/>
            <w:hideMark/>
          </w:tcPr>
          <w:p w14:paraId="40699C08"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This recommendation was directed to the Municipality of Clarington.</w:t>
            </w:r>
          </w:p>
        </w:tc>
        <w:tc>
          <w:tcPr>
            <w:tcW w:w="1648" w:type="pct"/>
            <w:noWrap/>
            <w:hideMark/>
          </w:tcPr>
          <w:p w14:paraId="2E93BA9F"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746B25D3"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Complete</w:t>
            </w:r>
          </w:p>
        </w:tc>
      </w:tr>
      <w:tr w:rsidR="00E92B8A" w:rsidRPr="000B7710" w14:paraId="2A191361" w14:textId="77777777" w:rsidTr="000B7710">
        <w:trPr>
          <w:trHeight w:val="2100"/>
        </w:trPr>
        <w:tc>
          <w:tcPr>
            <w:tcW w:w="301" w:type="pct"/>
            <w:noWrap/>
            <w:hideMark/>
          </w:tcPr>
          <w:p w14:paraId="3345E48D"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60</w:t>
            </w:r>
          </w:p>
        </w:tc>
        <w:tc>
          <w:tcPr>
            <w:tcW w:w="1022" w:type="pct"/>
            <w:hideMark/>
          </w:tcPr>
          <w:p w14:paraId="1B5DC39A"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prior to construction, the Government of Canada review the adequacy of the provisions for nuclear liability insurance. This review must include information from OPG and the Region of Durham regarding the likely economic effects of a severe accident at the Darlington Nuclear site where there is a requirement for relocation, restriction of use and remediation of a sector of the regional study area.</w:t>
            </w:r>
          </w:p>
        </w:tc>
        <w:tc>
          <w:tcPr>
            <w:tcW w:w="1230" w:type="pct"/>
            <w:hideMark/>
          </w:tcPr>
          <w:p w14:paraId="77259E45"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the intent of this recommendation, that the Government of Canada review the adequacy of the provisions for nuclear liability insurance.</w:t>
            </w:r>
            <w:r w:rsidRPr="00C150DB">
              <w:rPr>
                <w:rFonts w:ascii="Segoe UI" w:eastAsia="Times New Roman" w:hAnsi="Segoe UI" w:cs="Segoe UI"/>
                <w:sz w:val="24"/>
                <w:szCs w:val="24"/>
              </w:rPr>
              <w:br/>
              <w:t>In bringing forward modernized nuclear civil liability legislation to replace the current Nuclear Liability Act, the Government of Canada will continue to review the adequacy of the provisions for nuclear liability insurance, taking into consideration the risk of Canadian nuclear installations and other relevant factors.</w:t>
            </w:r>
          </w:p>
        </w:tc>
        <w:tc>
          <w:tcPr>
            <w:tcW w:w="1648" w:type="pct"/>
            <w:noWrap/>
            <w:hideMark/>
          </w:tcPr>
          <w:p w14:paraId="7935A729"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1A5AD7E4"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Complete</w:t>
            </w:r>
          </w:p>
        </w:tc>
      </w:tr>
      <w:tr w:rsidR="00E92B8A" w:rsidRPr="000B7710" w14:paraId="108DF69E" w14:textId="77777777" w:rsidTr="000B7710">
        <w:trPr>
          <w:trHeight w:val="2100"/>
        </w:trPr>
        <w:tc>
          <w:tcPr>
            <w:tcW w:w="301" w:type="pct"/>
            <w:noWrap/>
            <w:hideMark/>
          </w:tcPr>
          <w:p w14:paraId="1F094A01"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61</w:t>
            </w:r>
          </w:p>
        </w:tc>
        <w:tc>
          <w:tcPr>
            <w:tcW w:w="1022" w:type="pct"/>
            <w:hideMark/>
          </w:tcPr>
          <w:p w14:paraId="4268D311"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during operation, the Canadian Nuclear Safety Commission require OPG to monitor aquatic habitat and biota for potential cumulative effects from the thermal loading and contaminant plume of the discharge structures of the existing Darlington Nuclear Generating Station and the Project.</w:t>
            </w:r>
          </w:p>
        </w:tc>
        <w:tc>
          <w:tcPr>
            <w:tcW w:w="1230" w:type="pct"/>
            <w:hideMark/>
          </w:tcPr>
          <w:p w14:paraId="4A7610B0"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this recommendation to require OPG to monitor aquatic habitat and biota for potential cumulative effects from the thermal loading and contaminant plume. Environment Canada and Fisheries and Oceans Canada can provide available scientific and technical expertise to the Canadian Nuclear Safety Commission, upon request, to assist in the implementation of this recommendation.</w:t>
            </w:r>
            <w:r w:rsidRPr="00C150DB">
              <w:rPr>
                <w:rFonts w:ascii="Segoe UI" w:eastAsia="Times New Roman" w:hAnsi="Segoe UI" w:cs="Segoe UI"/>
                <w:sz w:val="24"/>
                <w:szCs w:val="24"/>
              </w:rPr>
              <w:br/>
              <w:t>The proponent will also be required to undertake an aquatic monitoring program as a condition of any Fisheries Act authorization.</w:t>
            </w:r>
          </w:p>
        </w:tc>
        <w:tc>
          <w:tcPr>
            <w:tcW w:w="1648" w:type="pct"/>
            <w:noWrap/>
            <w:hideMark/>
          </w:tcPr>
          <w:p w14:paraId="2E6AFDCA"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D-P-12.4</w:t>
            </w:r>
          </w:p>
        </w:tc>
        <w:tc>
          <w:tcPr>
            <w:tcW w:w="799" w:type="pct"/>
            <w:noWrap/>
            <w:hideMark/>
          </w:tcPr>
          <w:p w14:paraId="5996FDA8"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Open</w:t>
            </w:r>
          </w:p>
        </w:tc>
      </w:tr>
      <w:tr w:rsidR="00E92B8A" w:rsidRPr="000B7710" w14:paraId="34BB32ED" w14:textId="77777777" w:rsidTr="000B7710">
        <w:trPr>
          <w:trHeight w:val="2400"/>
        </w:trPr>
        <w:tc>
          <w:tcPr>
            <w:tcW w:w="301" w:type="pct"/>
            <w:noWrap/>
            <w:hideMark/>
          </w:tcPr>
          <w:p w14:paraId="313AC40C"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62</w:t>
            </w:r>
          </w:p>
        </w:tc>
        <w:tc>
          <w:tcPr>
            <w:tcW w:w="1022" w:type="pct"/>
            <w:hideMark/>
          </w:tcPr>
          <w:p w14:paraId="367FC020"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prior to site preparation, Environment Canada evaluate the need for additional air quality monitoring stations in the local study area to monitor cumulative effects on air quality.</w:t>
            </w:r>
          </w:p>
        </w:tc>
        <w:tc>
          <w:tcPr>
            <w:tcW w:w="1230" w:type="pct"/>
            <w:hideMark/>
          </w:tcPr>
          <w:p w14:paraId="5DFA5534"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this recommendation to evaluate the need for additional air quality monitoring stations in the local study area to monitor cumulative effects on air quality.</w:t>
            </w:r>
            <w:r w:rsidRPr="00C150DB">
              <w:rPr>
                <w:rFonts w:ascii="Segoe UI" w:eastAsia="Times New Roman" w:hAnsi="Segoe UI" w:cs="Segoe UI"/>
                <w:sz w:val="24"/>
                <w:szCs w:val="24"/>
              </w:rPr>
              <w:br/>
              <w:t>If this evaluation finds that additional air quality monitoring stations in the local study area are required, the Government of Canada acknowledges that the Canadian Nuclear Safety Commission has the statutory authority and powers to address the findings of this recommendation through future licensing under the Nuclear Safety and Control Act.</w:t>
            </w:r>
          </w:p>
        </w:tc>
        <w:tc>
          <w:tcPr>
            <w:tcW w:w="1648" w:type="pct"/>
            <w:noWrap/>
            <w:hideMark/>
          </w:tcPr>
          <w:p w14:paraId="67A393F7"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0970500A"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Complete</w:t>
            </w:r>
          </w:p>
        </w:tc>
      </w:tr>
      <w:tr w:rsidR="00E92B8A" w:rsidRPr="000B7710" w14:paraId="4CAD4BB2" w14:textId="77777777" w:rsidTr="000B7710">
        <w:trPr>
          <w:trHeight w:val="1800"/>
        </w:trPr>
        <w:tc>
          <w:tcPr>
            <w:tcW w:w="301" w:type="pct"/>
            <w:noWrap/>
            <w:hideMark/>
          </w:tcPr>
          <w:p w14:paraId="0C9D76C8"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63</w:t>
            </w:r>
          </w:p>
        </w:tc>
        <w:tc>
          <w:tcPr>
            <w:tcW w:w="1022" w:type="pct"/>
            <w:hideMark/>
          </w:tcPr>
          <w:p w14:paraId="0FE2917A"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The Panel recommends that prior to construction, the Canadian Nuclear Safety Commission require OPG to evaluate the cumulative effect of a common-cause severe accident involving </w:t>
            </w:r>
            <w:proofErr w:type="gramStart"/>
            <w:r w:rsidRPr="00C150DB">
              <w:rPr>
                <w:rFonts w:ascii="Segoe UI" w:eastAsia="Times New Roman" w:hAnsi="Segoe UI" w:cs="Segoe UI"/>
                <w:sz w:val="24"/>
                <w:szCs w:val="24"/>
              </w:rPr>
              <w:t>all of</w:t>
            </w:r>
            <w:proofErr w:type="gramEnd"/>
            <w:r w:rsidRPr="00C150DB">
              <w:rPr>
                <w:rFonts w:ascii="Segoe UI" w:eastAsia="Times New Roman" w:hAnsi="Segoe UI" w:cs="Segoe UI"/>
                <w:sz w:val="24"/>
                <w:szCs w:val="24"/>
              </w:rPr>
              <w:t xml:space="preserve"> the nuclear reactors in the site study area to determine if further emergency planning measures are required.</w:t>
            </w:r>
          </w:p>
        </w:tc>
        <w:tc>
          <w:tcPr>
            <w:tcW w:w="1230" w:type="pct"/>
            <w:hideMark/>
          </w:tcPr>
          <w:p w14:paraId="01F3BF5B"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The Government of Canada accepts the intent of this recommendation to require OPG to evaluate the cumulative effect of a common-cause severe accident in the site study area. The Government of Canada notes that the CNSC has established a task force to examine the lessons learned from the Japan Earthquake and will evaluate the operational, </w:t>
            </w:r>
            <w:proofErr w:type="gramStart"/>
            <w:r w:rsidRPr="00C150DB">
              <w:rPr>
                <w:rFonts w:ascii="Segoe UI" w:eastAsia="Times New Roman" w:hAnsi="Segoe UI" w:cs="Segoe UI"/>
                <w:sz w:val="24"/>
                <w:szCs w:val="24"/>
              </w:rPr>
              <w:t>technical</w:t>
            </w:r>
            <w:proofErr w:type="gramEnd"/>
            <w:r w:rsidRPr="00C150DB">
              <w:rPr>
                <w:rFonts w:ascii="Segoe UI" w:eastAsia="Times New Roman" w:hAnsi="Segoe UI" w:cs="Segoe UI"/>
                <w:sz w:val="24"/>
                <w:szCs w:val="24"/>
              </w:rPr>
              <w:t xml:space="preserve"> and regulatory implications of the nuclear event in Japan in relation to Canadian nuclear power plants.</w:t>
            </w:r>
          </w:p>
        </w:tc>
        <w:tc>
          <w:tcPr>
            <w:tcW w:w="1648" w:type="pct"/>
            <w:noWrap/>
            <w:hideMark/>
          </w:tcPr>
          <w:p w14:paraId="7F00A4DA"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D-C-3.1</w:t>
            </w:r>
          </w:p>
        </w:tc>
        <w:tc>
          <w:tcPr>
            <w:tcW w:w="799" w:type="pct"/>
            <w:noWrap/>
            <w:hideMark/>
          </w:tcPr>
          <w:p w14:paraId="56C13223"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Open</w:t>
            </w:r>
          </w:p>
        </w:tc>
      </w:tr>
      <w:tr w:rsidR="00E92B8A" w:rsidRPr="000B7710" w14:paraId="2F084EBE" w14:textId="77777777" w:rsidTr="000B7710">
        <w:trPr>
          <w:trHeight w:val="1800"/>
        </w:trPr>
        <w:tc>
          <w:tcPr>
            <w:tcW w:w="301" w:type="pct"/>
            <w:noWrap/>
            <w:hideMark/>
          </w:tcPr>
          <w:p w14:paraId="2F3DC37B"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64</w:t>
            </w:r>
          </w:p>
        </w:tc>
        <w:tc>
          <w:tcPr>
            <w:tcW w:w="1022" w:type="pct"/>
            <w:hideMark/>
          </w:tcPr>
          <w:p w14:paraId="6F811B06"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the Canadian Environmental Assessment Agency revise the Canadian Environmental Assessment Agency Cumulative Effects Practitioner’s Guide to specifically include consideration of accident and malfunction scenarios.</w:t>
            </w:r>
          </w:p>
        </w:tc>
        <w:tc>
          <w:tcPr>
            <w:tcW w:w="1230" w:type="pct"/>
            <w:hideMark/>
          </w:tcPr>
          <w:p w14:paraId="46F6B11C"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this recommendation. The Canadian Environmental Assessment Agency is in the process of updating its suite of instruments in support of cumulative effects assessment under the CEAA. An operational policy statement, scheduled for completion by December 2012, will provide core guidance to practitioners and include the consideration of accidents and malfunctions.</w:t>
            </w:r>
          </w:p>
        </w:tc>
        <w:tc>
          <w:tcPr>
            <w:tcW w:w="1648" w:type="pct"/>
            <w:noWrap/>
            <w:hideMark/>
          </w:tcPr>
          <w:p w14:paraId="00F569CD"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61E87CCA"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(blank)</w:t>
            </w:r>
          </w:p>
        </w:tc>
      </w:tr>
      <w:tr w:rsidR="00E92B8A" w:rsidRPr="000B7710" w14:paraId="70EA1673" w14:textId="77777777" w:rsidTr="000B7710">
        <w:trPr>
          <w:trHeight w:val="3000"/>
        </w:trPr>
        <w:tc>
          <w:tcPr>
            <w:tcW w:w="301" w:type="pct"/>
            <w:noWrap/>
            <w:hideMark/>
          </w:tcPr>
          <w:p w14:paraId="6CC1898A"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65</w:t>
            </w:r>
          </w:p>
        </w:tc>
        <w:tc>
          <w:tcPr>
            <w:tcW w:w="1022" w:type="pct"/>
            <w:hideMark/>
          </w:tcPr>
          <w:p w14:paraId="57C66E04"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the Government of Canada make it a priority to invest in developing solutions for long-term management of used nuclear fuel, including storage, disposal, reprocessing and re-use.</w:t>
            </w:r>
          </w:p>
        </w:tc>
        <w:tc>
          <w:tcPr>
            <w:tcW w:w="1230" w:type="pct"/>
            <w:hideMark/>
          </w:tcPr>
          <w:p w14:paraId="72776518"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the intent of this recommendation that priority be given to invest in solutions for the long-term management of used nuclear fuel. It is the responsibility of waste owners to fund and manage the safe and secure operation of their wastes.</w:t>
            </w:r>
            <w:r w:rsidRPr="00C150DB">
              <w:rPr>
                <w:rFonts w:ascii="Segoe UI" w:eastAsia="Times New Roman" w:hAnsi="Segoe UI" w:cs="Segoe UI"/>
                <w:sz w:val="24"/>
                <w:szCs w:val="24"/>
              </w:rPr>
              <w:br/>
              <w:t>The Nuclear Waste Management Organization, established by the nuclear energy corporations, is responsible for implementing the government-selected plan for managing nuclear fuel waste over the long-term.</w:t>
            </w:r>
            <w:r w:rsidRPr="00C150DB">
              <w:rPr>
                <w:rFonts w:ascii="Segoe UI" w:eastAsia="Times New Roman" w:hAnsi="Segoe UI" w:cs="Segoe UI"/>
                <w:sz w:val="24"/>
                <w:szCs w:val="24"/>
              </w:rPr>
              <w:br/>
              <w:t>The Government of Canada is committed to ensuring that an appropriate and properly funded long-term safe and secure solution is in place for the managing nuclear fuel waste over long term.</w:t>
            </w:r>
          </w:p>
        </w:tc>
        <w:tc>
          <w:tcPr>
            <w:tcW w:w="1648" w:type="pct"/>
            <w:noWrap/>
            <w:hideMark/>
          </w:tcPr>
          <w:p w14:paraId="696E3B28"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44E06E09"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(blank)</w:t>
            </w:r>
          </w:p>
        </w:tc>
      </w:tr>
      <w:tr w:rsidR="00E92B8A" w:rsidRPr="000B7710" w14:paraId="6F189CC2" w14:textId="77777777" w:rsidTr="000B7710">
        <w:trPr>
          <w:trHeight w:val="2100"/>
        </w:trPr>
        <w:tc>
          <w:tcPr>
            <w:tcW w:w="301" w:type="pct"/>
            <w:noWrap/>
            <w:hideMark/>
          </w:tcPr>
          <w:p w14:paraId="5F6C290B" w14:textId="77777777" w:rsidR="00E92B8A" w:rsidRPr="00C150DB" w:rsidRDefault="00E92B8A" w:rsidP="00C150DB">
            <w:pPr>
              <w:spacing w:before="160"/>
              <w:rPr>
                <w:rFonts w:ascii="Segoe UI" w:eastAsia="Times New Roman" w:hAnsi="Segoe UI" w:cs="Segoe UI"/>
              </w:rPr>
            </w:pPr>
            <w:r w:rsidRPr="00C150DB">
              <w:rPr>
                <w:rFonts w:ascii="Segoe UI" w:eastAsia="Times New Roman" w:hAnsi="Segoe UI" w:cs="Segoe UI"/>
              </w:rPr>
              <w:t>66</w:t>
            </w:r>
          </w:p>
        </w:tc>
        <w:tc>
          <w:tcPr>
            <w:tcW w:w="1022" w:type="pct"/>
            <w:hideMark/>
          </w:tcPr>
          <w:p w14:paraId="536F8128"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the Government of Canada update the Nuclear Liability and Compensation Act or its equivalent to reflect the consequences of a nuclear accident. The revisions must address damage from any ionizing radiation and from any initiating event and should be aligned with the polluter pays principle. The revised Nuclear Liability and Compensation Act, or its equivalent, must be in force before the Project can proceed to the construction phase.</w:t>
            </w:r>
          </w:p>
        </w:tc>
        <w:tc>
          <w:tcPr>
            <w:tcW w:w="1230" w:type="pct"/>
            <w:hideMark/>
          </w:tcPr>
          <w:p w14:paraId="77BAC687" w14:textId="21A70F18"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 xml:space="preserve">The Government of Canada accepts the intent of this recommendation, that the Government of Canada update the Nuclear Liability and Compensation Act or its equivalent to reflect the consequences of a nuclear accident. The Government of Canada recognizes the importance of bringing forward modernized nuclear civil liability legislation to bring compensation in line with </w:t>
            </w:r>
            <w:r w:rsidR="009D7B56" w:rsidRPr="00C150DB">
              <w:rPr>
                <w:rFonts w:ascii="Segoe UI" w:eastAsia="Times New Roman" w:hAnsi="Segoe UI" w:cs="Segoe UI"/>
                <w:sz w:val="24"/>
                <w:szCs w:val="24"/>
              </w:rPr>
              <w:t>internationally accepted</w:t>
            </w:r>
            <w:r w:rsidRPr="00C150DB">
              <w:rPr>
                <w:rFonts w:ascii="Segoe UI" w:eastAsia="Times New Roman" w:hAnsi="Segoe UI" w:cs="Segoe UI"/>
                <w:sz w:val="24"/>
                <w:szCs w:val="24"/>
              </w:rPr>
              <w:t xml:space="preserve"> </w:t>
            </w:r>
            <w:r w:rsidR="009D7B56" w:rsidRPr="00C150DB">
              <w:rPr>
                <w:rFonts w:ascii="Segoe UI" w:eastAsia="Times New Roman" w:hAnsi="Segoe UI" w:cs="Segoe UI"/>
                <w:sz w:val="24"/>
                <w:szCs w:val="24"/>
              </w:rPr>
              <w:t>levels and</w:t>
            </w:r>
            <w:r w:rsidRPr="00C150DB">
              <w:rPr>
                <w:rFonts w:ascii="Segoe UI" w:eastAsia="Times New Roman" w:hAnsi="Segoe UI" w:cs="Segoe UI"/>
                <w:sz w:val="24"/>
                <w:szCs w:val="24"/>
              </w:rPr>
              <w:t xml:space="preserve"> will decide on the timing of the next introduction of the Nuclear Liability and Compensation Act bill in Parliament.</w:t>
            </w:r>
          </w:p>
        </w:tc>
        <w:tc>
          <w:tcPr>
            <w:tcW w:w="1648" w:type="pct"/>
            <w:noWrap/>
            <w:hideMark/>
          </w:tcPr>
          <w:p w14:paraId="535F1191"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0131D081"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(blank)</w:t>
            </w:r>
          </w:p>
        </w:tc>
      </w:tr>
      <w:tr w:rsidR="00E92B8A" w:rsidRPr="000B7710" w14:paraId="37EB1BD5" w14:textId="77777777" w:rsidTr="000B7710">
        <w:trPr>
          <w:trHeight w:val="2700"/>
        </w:trPr>
        <w:tc>
          <w:tcPr>
            <w:tcW w:w="301" w:type="pct"/>
            <w:noWrap/>
            <w:hideMark/>
          </w:tcPr>
          <w:p w14:paraId="1E42ABA7" w14:textId="68DF7814" w:rsidR="00E92B8A" w:rsidRPr="00C150DB" w:rsidRDefault="00C150DB" w:rsidP="00C150DB">
            <w:pPr>
              <w:spacing w:before="160"/>
              <w:rPr>
                <w:rFonts w:ascii="Segoe UI" w:eastAsia="Times New Roman" w:hAnsi="Segoe UI" w:cs="Segoe UI"/>
                <w:sz w:val="20"/>
                <w:szCs w:val="20"/>
              </w:rPr>
            </w:pPr>
            <w:r w:rsidRPr="00C150DB">
              <w:rPr>
                <w:rFonts w:ascii="Segoe UI" w:eastAsia="Times New Roman" w:hAnsi="Segoe UI" w:cs="Segoe UI"/>
                <w:sz w:val="20"/>
                <w:szCs w:val="20"/>
              </w:rPr>
              <w:t>67</w:t>
            </w:r>
          </w:p>
        </w:tc>
        <w:tc>
          <w:tcPr>
            <w:tcW w:w="1022" w:type="pct"/>
            <w:hideMark/>
          </w:tcPr>
          <w:p w14:paraId="7EBFD758"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Panel recommends that the Government of Canada provide clear and practical direction to the application of sustainability assessment in environmental assessments for future nuclear projects.</w:t>
            </w:r>
          </w:p>
        </w:tc>
        <w:tc>
          <w:tcPr>
            <w:tcW w:w="1230" w:type="pct"/>
            <w:hideMark/>
          </w:tcPr>
          <w:p w14:paraId="20B53538"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The Government of Canada accepts the intent of this recommendation. However, the scope of the assessment and the factors to be considered in future EAs for nuclear projects are decisions that should be taken on a project-by-project basis by future Responsible Authorities. Recognizing that sustainable development is a principle of the Canadian Environmental Assessment Act, should a separate sustainability assessment be required by Responsible Authorities for future nuclear projects, the Government of Canada agrees that it would be desirable for those Responsible Authorities to provide clear and practical direction to proponents and the public on how a sustainability assessment should be conducted.</w:t>
            </w:r>
          </w:p>
        </w:tc>
        <w:tc>
          <w:tcPr>
            <w:tcW w:w="1648" w:type="pct"/>
            <w:noWrap/>
            <w:hideMark/>
          </w:tcPr>
          <w:p w14:paraId="62C76EB2"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N/A</w:t>
            </w:r>
          </w:p>
        </w:tc>
        <w:tc>
          <w:tcPr>
            <w:tcW w:w="799" w:type="pct"/>
            <w:noWrap/>
            <w:hideMark/>
          </w:tcPr>
          <w:p w14:paraId="17EE9C33" w14:textId="77777777" w:rsidR="00E92B8A" w:rsidRPr="00C150DB" w:rsidRDefault="00E92B8A" w:rsidP="00C150DB">
            <w:pPr>
              <w:spacing w:before="160"/>
              <w:rPr>
                <w:rFonts w:ascii="Segoe UI" w:eastAsia="Times New Roman" w:hAnsi="Segoe UI" w:cs="Segoe UI"/>
                <w:sz w:val="24"/>
                <w:szCs w:val="24"/>
              </w:rPr>
            </w:pPr>
            <w:r w:rsidRPr="00C150DB">
              <w:rPr>
                <w:rFonts w:ascii="Segoe UI" w:eastAsia="Times New Roman" w:hAnsi="Segoe UI" w:cs="Segoe UI"/>
                <w:sz w:val="24"/>
                <w:szCs w:val="24"/>
              </w:rPr>
              <w:t>(blank)</w:t>
            </w:r>
          </w:p>
        </w:tc>
      </w:tr>
    </w:tbl>
    <w:p w14:paraId="519782E9" w14:textId="77777777" w:rsidR="00E92B8A" w:rsidRPr="00D22488" w:rsidRDefault="00E92B8A" w:rsidP="00E92B8A">
      <w:pPr>
        <w:pStyle w:val="BodyTextCMD"/>
        <w:rPr>
          <w:lang w:val="en-CA"/>
        </w:rPr>
      </w:pPr>
    </w:p>
    <w:p w14:paraId="1D016B5B" w14:textId="63FD091F" w:rsidR="009827E1" w:rsidRDefault="00D5268B" w:rsidP="00C54C0E">
      <w:pPr>
        <w:pStyle w:val="ListParagraph"/>
        <w:ind w:left="0"/>
        <w:rPr>
          <w:rFonts w:ascii="Segoe UI" w:hAnsi="Segoe UI" w:cs="Segoe UI"/>
          <w:b/>
          <w:bCs/>
          <w:sz w:val="24"/>
          <w:szCs w:val="24"/>
          <w:lang w:val="en-US"/>
        </w:rPr>
      </w:pPr>
      <w:r>
        <w:rPr>
          <w:rFonts w:ascii="Segoe UI" w:hAnsi="Segoe UI" w:cs="Segoe UI"/>
          <w:b/>
          <w:bCs/>
          <w:sz w:val="24"/>
          <w:szCs w:val="24"/>
          <w:lang w:val="en-US"/>
        </w:rPr>
        <w:t>ANNEX B: Participant Funding Program Comments</w:t>
      </w:r>
      <w:r w:rsidR="00611EB9">
        <w:rPr>
          <w:rFonts w:ascii="Segoe UI" w:hAnsi="Segoe UI" w:cs="Segoe UI"/>
          <w:b/>
          <w:bCs/>
          <w:sz w:val="24"/>
          <w:szCs w:val="24"/>
          <w:lang w:val="en-US"/>
        </w:rPr>
        <w:t xml:space="preserve"> (6992421)</w:t>
      </w:r>
    </w:p>
    <w:p w14:paraId="7D53D482" w14:textId="140C6ECC" w:rsidR="007C574B" w:rsidRDefault="007C574B" w:rsidP="00C54C0E">
      <w:pPr>
        <w:pStyle w:val="ListParagraph"/>
        <w:ind w:left="0"/>
        <w:rPr>
          <w:rFonts w:ascii="Segoe UI" w:hAnsi="Segoe UI" w:cs="Segoe UI"/>
          <w:b/>
          <w:bCs/>
          <w:sz w:val="24"/>
          <w:szCs w:val="24"/>
          <w:lang w:val="en-US"/>
        </w:rPr>
      </w:pPr>
    </w:p>
    <w:tbl>
      <w:tblPr>
        <w:tblStyle w:val="TableGrid"/>
        <w:tblW w:w="0" w:type="auto"/>
        <w:tblLook w:val="04A0" w:firstRow="1" w:lastRow="0" w:firstColumn="1" w:lastColumn="0" w:noHBand="0" w:noVBand="1"/>
      </w:tblPr>
      <w:tblGrid>
        <w:gridCol w:w="2830"/>
        <w:gridCol w:w="6520"/>
      </w:tblGrid>
      <w:tr w:rsidR="007C574B" w:rsidRPr="007B6616" w14:paraId="61C0EE68" w14:textId="77777777" w:rsidTr="00C150DB">
        <w:tc>
          <w:tcPr>
            <w:tcW w:w="9350" w:type="dxa"/>
            <w:gridSpan w:val="2"/>
            <w:shd w:val="clear" w:color="auto" w:fill="D9D9D9" w:themeFill="background1" w:themeFillShade="D9"/>
          </w:tcPr>
          <w:p w14:paraId="1BB09E98" w14:textId="36494F1B" w:rsidR="007C574B" w:rsidRPr="007B6616" w:rsidRDefault="007C574B" w:rsidP="00C54C0E">
            <w:pPr>
              <w:pStyle w:val="ListParagraph"/>
              <w:ind w:left="0"/>
              <w:rPr>
                <w:rFonts w:ascii="Segoe UI" w:hAnsi="Segoe UI" w:cs="Segoe UI"/>
                <w:b/>
                <w:bCs/>
                <w:sz w:val="24"/>
                <w:szCs w:val="24"/>
                <w:lang w:val="en-US"/>
              </w:rPr>
            </w:pPr>
            <w:r w:rsidRPr="007B6616">
              <w:rPr>
                <w:rFonts w:ascii="Segoe UI" w:hAnsi="Segoe UI" w:cs="Segoe UI"/>
                <w:b/>
                <w:bCs/>
                <w:sz w:val="24"/>
                <w:szCs w:val="24"/>
                <w:lang w:val="en-US"/>
              </w:rPr>
              <w:t>Design and Analysis</w:t>
            </w:r>
          </w:p>
        </w:tc>
      </w:tr>
      <w:tr w:rsidR="00AE7DD4" w:rsidRPr="007B6616" w14:paraId="54C0042F" w14:textId="77777777" w:rsidTr="007B6616">
        <w:tc>
          <w:tcPr>
            <w:tcW w:w="2830" w:type="dxa"/>
          </w:tcPr>
          <w:p w14:paraId="4D785B0B" w14:textId="77777777" w:rsidR="00AE7DD4" w:rsidRPr="007B6616" w:rsidRDefault="00AE7DD4" w:rsidP="007C574B">
            <w:pPr>
              <w:rPr>
                <w:rFonts w:ascii="Segoe UI" w:hAnsi="Segoe UI" w:cs="Segoe UI"/>
                <w:color w:val="000000"/>
                <w:sz w:val="24"/>
                <w:szCs w:val="24"/>
                <w:lang w:val="en-US"/>
              </w:rPr>
            </w:pPr>
            <w:r w:rsidRPr="007B6616">
              <w:rPr>
                <w:rFonts w:ascii="Segoe UI" w:hAnsi="Segoe UI" w:cs="Segoe UI"/>
                <w:color w:val="000000"/>
                <w:sz w:val="24"/>
                <w:szCs w:val="24"/>
                <w:lang w:val="en-US"/>
              </w:rPr>
              <w:t>General</w:t>
            </w:r>
          </w:p>
          <w:p w14:paraId="2AA5F1A8" w14:textId="77777777" w:rsidR="00AE7DD4" w:rsidRPr="007B6616" w:rsidRDefault="00AE7DD4" w:rsidP="007C574B">
            <w:pPr>
              <w:rPr>
                <w:rFonts w:ascii="Segoe UI" w:hAnsi="Segoe UI" w:cs="Segoe UI"/>
                <w:color w:val="000000"/>
                <w:sz w:val="24"/>
                <w:szCs w:val="24"/>
                <w:lang w:val="en-US"/>
              </w:rPr>
            </w:pPr>
          </w:p>
          <w:p w14:paraId="687901F2" w14:textId="77777777" w:rsidR="00AE7DD4" w:rsidRPr="007B6616" w:rsidRDefault="00AE7DD4" w:rsidP="007C574B">
            <w:pPr>
              <w:rPr>
                <w:rFonts w:ascii="Segoe UI" w:hAnsi="Segoe UI" w:cs="Segoe UI"/>
                <w:color w:val="000000"/>
                <w:sz w:val="24"/>
                <w:szCs w:val="24"/>
                <w:lang w:val="en-US"/>
              </w:rPr>
            </w:pPr>
          </w:p>
          <w:p w14:paraId="62C60782" w14:textId="77777777" w:rsidR="00AE7DD4" w:rsidRPr="007B6616" w:rsidRDefault="00AE7DD4" w:rsidP="007C574B">
            <w:pPr>
              <w:rPr>
                <w:rFonts w:ascii="Segoe UI" w:hAnsi="Segoe UI" w:cs="Segoe UI"/>
                <w:color w:val="000000"/>
                <w:sz w:val="24"/>
                <w:szCs w:val="24"/>
                <w:lang w:val="en-US"/>
              </w:rPr>
            </w:pPr>
          </w:p>
          <w:p w14:paraId="3CB97659" w14:textId="77777777" w:rsidR="00AE7DD4" w:rsidRPr="007B6616" w:rsidRDefault="00AE7DD4" w:rsidP="007C574B">
            <w:pPr>
              <w:rPr>
                <w:rFonts w:ascii="Segoe UI" w:hAnsi="Segoe UI" w:cs="Segoe UI"/>
                <w:color w:val="000000"/>
                <w:sz w:val="24"/>
                <w:szCs w:val="24"/>
                <w:lang w:val="en-US"/>
              </w:rPr>
            </w:pPr>
          </w:p>
          <w:p w14:paraId="790E0FB1" w14:textId="77777777" w:rsidR="00AE7DD4" w:rsidRPr="007B6616" w:rsidRDefault="00AE7DD4" w:rsidP="007C574B">
            <w:pPr>
              <w:rPr>
                <w:rFonts w:ascii="Segoe UI" w:hAnsi="Segoe UI" w:cs="Segoe UI"/>
                <w:color w:val="000000"/>
                <w:sz w:val="24"/>
                <w:szCs w:val="24"/>
                <w:lang w:val="en-US"/>
              </w:rPr>
            </w:pPr>
          </w:p>
          <w:p w14:paraId="0161DC3E" w14:textId="77777777" w:rsidR="00AE7DD4" w:rsidRPr="007B6616" w:rsidRDefault="00AE7DD4" w:rsidP="007C574B">
            <w:pPr>
              <w:rPr>
                <w:rFonts w:ascii="Segoe UI" w:hAnsi="Segoe UI" w:cs="Segoe UI"/>
                <w:color w:val="000000"/>
                <w:sz w:val="24"/>
                <w:szCs w:val="24"/>
                <w:lang w:val="en-US"/>
              </w:rPr>
            </w:pPr>
          </w:p>
          <w:p w14:paraId="2D7EA501" w14:textId="77777777" w:rsidR="00AE7DD4" w:rsidRPr="007B6616" w:rsidRDefault="00AE7DD4" w:rsidP="007C574B">
            <w:pPr>
              <w:rPr>
                <w:rFonts w:ascii="Segoe UI" w:hAnsi="Segoe UI" w:cs="Segoe UI"/>
                <w:color w:val="000000"/>
                <w:sz w:val="24"/>
                <w:szCs w:val="24"/>
                <w:lang w:val="en-US"/>
              </w:rPr>
            </w:pPr>
          </w:p>
          <w:p w14:paraId="585315E2" w14:textId="78D006D5" w:rsidR="00AE7DD4" w:rsidRPr="007B6616" w:rsidRDefault="00AE7DD4" w:rsidP="007C574B">
            <w:pPr>
              <w:rPr>
                <w:rFonts w:ascii="Segoe UI" w:hAnsi="Segoe UI" w:cs="Segoe UI"/>
                <w:color w:val="000000"/>
                <w:sz w:val="24"/>
                <w:szCs w:val="24"/>
                <w:lang w:val="en-US"/>
              </w:rPr>
            </w:pPr>
            <w:r w:rsidRPr="007B6616">
              <w:rPr>
                <w:rFonts w:ascii="Segoe UI" w:hAnsi="Segoe UI" w:cs="Segoe UI"/>
                <w:color w:val="000000"/>
                <w:sz w:val="24"/>
                <w:szCs w:val="24"/>
                <w:lang w:val="en-US"/>
              </w:rPr>
              <w:t>Parameters Analysis</w:t>
            </w:r>
          </w:p>
        </w:tc>
        <w:tc>
          <w:tcPr>
            <w:tcW w:w="6520" w:type="dxa"/>
          </w:tcPr>
          <w:p w14:paraId="2F04DAEF" w14:textId="02F8D361" w:rsidR="00AE7DD4" w:rsidRPr="007B6616" w:rsidRDefault="00AE7DD4" w:rsidP="00856D3F">
            <w:pPr>
              <w:pStyle w:val="ListParagraph"/>
              <w:numPr>
                <w:ilvl w:val="0"/>
                <w:numId w:val="10"/>
              </w:numPr>
              <w:rPr>
                <w:rFonts w:ascii="Segoe UI" w:hAnsi="Segoe UI" w:cs="Segoe UI"/>
                <w:color w:val="000000"/>
                <w:sz w:val="24"/>
                <w:szCs w:val="24"/>
              </w:rPr>
            </w:pPr>
            <w:r w:rsidRPr="007B6616">
              <w:rPr>
                <w:rFonts w:ascii="Segoe UI" w:hAnsi="Segoe UI" w:cs="Segoe UI"/>
                <w:color w:val="000000"/>
                <w:sz w:val="24"/>
                <w:szCs w:val="24"/>
              </w:rPr>
              <w:t xml:space="preserve">The report has not fully considered the industry guidelines for such a report that were issued by NEI almost one and a half years earlier. It does not address all data suggested by NEI-10-Rev-2. It does not reflect any industry </w:t>
            </w:r>
            <w:r w:rsidR="009D7B56" w:rsidRPr="007B6616">
              <w:rPr>
                <w:rFonts w:ascii="Segoe UI" w:hAnsi="Segoe UI" w:cs="Segoe UI"/>
                <w:color w:val="000000"/>
                <w:sz w:val="24"/>
                <w:szCs w:val="24"/>
              </w:rPr>
              <w:t>experience;</w:t>
            </w:r>
            <w:r w:rsidRPr="007B6616">
              <w:rPr>
                <w:rFonts w:ascii="Segoe UI" w:hAnsi="Segoe UI" w:cs="Segoe UI"/>
                <w:color w:val="000000"/>
                <w:sz w:val="24"/>
                <w:szCs w:val="24"/>
              </w:rPr>
              <w:t xml:space="preserve"> NRC queries or advances in reactor safety expectations that NEI says were reflected in this revision. Some of these questions are quite central to a safe design, </w:t>
            </w:r>
            <w:r w:rsidR="007B6616" w:rsidRPr="007B6616">
              <w:rPr>
                <w:rFonts w:ascii="Segoe UI" w:hAnsi="Segoe UI" w:cs="Segoe UI"/>
                <w:color w:val="000000"/>
                <w:sz w:val="24"/>
                <w:szCs w:val="24"/>
              </w:rPr>
              <w:t>many</w:t>
            </w:r>
            <w:r w:rsidRPr="007B6616">
              <w:rPr>
                <w:rFonts w:ascii="Segoe UI" w:hAnsi="Segoe UI" w:cs="Segoe UI"/>
                <w:color w:val="000000"/>
                <w:sz w:val="24"/>
                <w:szCs w:val="24"/>
              </w:rPr>
              <w:t xml:space="preserve"> numbered subject headings that were not broached. [LIST TRUNCATED]</w:t>
            </w:r>
          </w:p>
          <w:p w14:paraId="19199781" w14:textId="77777777" w:rsidR="00AE7DD4" w:rsidRPr="007B6616" w:rsidRDefault="00AE7DD4" w:rsidP="00856D3F">
            <w:pPr>
              <w:pStyle w:val="ListParagraph"/>
              <w:numPr>
                <w:ilvl w:val="0"/>
                <w:numId w:val="10"/>
              </w:numPr>
              <w:rPr>
                <w:rFonts w:ascii="Segoe UI" w:hAnsi="Segoe UI" w:cs="Segoe UI"/>
                <w:color w:val="000000"/>
                <w:sz w:val="24"/>
                <w:szCs w:val="24"/>
              </w:rPr>
            </w:pPr>
            <w:r w:rsidRPr="007B6616">
              <w:rPr>
                <w:rFonts w:ascii="Segoe UI" w:hAnsi="Segoe UI" w:cs="Segoe UI"/>
                <w:color w:val="000000"/>
                <w:sz w:val="24"/>
                <w:szCs w:val="24"/>
              </w:rPr>
              <w:t>NRC expects a clear statement on margin of error on the bounding values chosen. CNSC should too. Certain critical data where margins of error are critically important.</w:t>
            </w:r>
          </w:p>
          <w:p w14:paraId="5B9555D3" w14:textId="77777777" w:rsidR="00AE7DD4" w:rsidRPr="007B6616" w:rsidRDefault="00AE7DD4" w:rsidP="00856D3F">
            <w:pPr>
              <w:pStyle w:val="ListParagraph"/>
              <w:numPr>
                <w:ilvl w:val="0"/>
                <w:numId w:val="10"/>
              </w:numPr>
              <w:rPr>
                <w:rFonts w:ascii="Segoe UI" w:hAnsi="Segoe UI" w:cs="Segoe UI"/>
                <w:color w:val="000000"/>
                <w:sz w:val="24"/>
                <w:szCs w:val="24"/>
              </w:rPr>
            </w:pPr>
            <w:r w:rsidRPr="007B6616">
              <w:rPr>
                <w:rFonts w:ascii="Segoe UI" w:hAnsi="Segoe UI" w:cs="Segoe UI"/>
                <w:color w:val="000000"/>
                <w:sz w:val="24"/>
                <w:szCs w:val="24"/>
              </w:rPr>
              <w:t>The effect of a limiting severe core damage accident on the plant parameter envelope was not considered.</w:t>
            </w:r>
          </w:p>
          <w:p w14:paraId="329B0FA2" w14:textId="4E5D74A5" w:rsidR="00AE7DD4" w:rsidRPr="007B6616" w:rsidRDefault="00AE7DD4" w:rsidP="00856D3F">
            <w:pPr>
              <w:pStyle w:val="ListParagraph"/>
              <w:numPr>
                <w:ilvl w:val="0"/>
                <w:numId w:val="10"/>
              </w:numPr>
              <w:rPr>
                <w:rFonts w:ascii="Segoe UI" w:hAnsi="Segoe UI" w:cs="Segoe UI"/>
                <w:color w:val="000000"/>
                <w:sz w:val="24"/>
                <w:szCs w:val="24"/>
              </w:rPr>
            </w:pPr>
            <w:r w:rsidRPr="007B6616">
              <w:rPr>
                <w:rFonts w:ascii="Segoe UI" w:hAnsi="Segoe UI" w:cs="Segoe UI"/>
                <w:color w:val="000000"/>
                <w:sz w:val="24"/>
                <w:szCs w:val="24"/>
              </w:rPr>
              <w:t xml:space="preserve">When the new entry into the list of potential reactor designs had a parameter that was outside the enveloping limits defined in the earlier incarnation of the PPE, the envelope was extended without any explanation. For </w:t>
            </w:r>
            <w:r w:rsidR="009D7B56" w:rsidRPr="007B6616">
              <w:rPr>
                <w:rFonts w:ascii="Segoe UI" w:hAnsi="Segoe UI" w:cs="Segoe UI"/>
                <w:color w:val="000000"/>
                <w:sz w:val="24"/>
                <w:szCs w:val="24"/>
              </w:rPr>
              <w:t>example,</w:t>
            </w:r>
            <w:r w:rsidRPr="007B6616">
              <w:rPr>
                <w:rFonts w:ascii="Segoe UI" w:hAnsi="Segoe UI" w:cs="Segoe UI"/>
                <w:color w:val="000000"/>
                <w:sz w:val="24"/>
                <w:szCs w:val="24"/>
              </w:rPr>
              <w:t xml:space="preserve"> when the BWRX-300 required to be built onto a depth of 38 meters feet underground and above ground, equivalent to a total structure height of a </w:t>
            </w:r>
            <w:r w:rsidR="009D7B56" w:rsidRPr="007B6616">
              <w:rPr>
                <w:rFonts w:ascii="Segoe UI" w:hAnsi="Segoe UI" w:cs="Segoe UI"/>
                <w:color w:val="000000"/>
                <w:sz w:val="24"/>
                <w:szCs w:val="24"/>
              </w:rPr>
              <w:t>25-story</w:t>
            </w:r>
            <w:r w:rsidRPr="007B6616">
              <w:rPr>
                <w:rFonts w:ascii="Segoe UI" w:hAnsi="Segoe UI" w:cs="Segoe UI"/>
                <w:color w:val="000000"/>
                <w:sz w:val="24"/>
                <w:szCs w:val="24"/>
              </w:rPr>
              <w:t xml:space="preserve"> building – the PPE was merely re-written to make these parameters acceptable.</w:t>
            </w:r>
          </w:p>
          <w:p w14:paraId="6F4C149F" w14:textId="77777777" w:rsidR="00AE7DD4" w:rsidRPr="007B6616" w:rsidRDefault="00AE7DD4" w:rsidP="00C54C0E">
            <w:pPr>
              <w:pStyle w:val="ListParagraph"/>
              <w:ind w:left="0"/>
              <w:rPr>
                <w:rFonts w:ascii="Segoe UI" w:hAnsi="Segoe UI" w:cs="Segoe UI"/>
                <w:b/>
                <w:bCs/>
                <w:sz w:val="24"/>
                <w:szCs w:val="24"/>
                <w:lang w:val="en-US"/>
              </w:rPr>
            </w:pPr>
          </w:p>
        </w:tc>
      </w:tr>
      <w:tr w:rsidR="00AE7DD4" w:rsidRPr="007B6616" w14:paraId="6CCF5FC8" w14:textId="77777777" w:rsidTr="007B6616">
        <w:tc>
          <w:tcPr>
            <w:tcW w:w="2830" w:type="dxa"/>
          </w:tcPr>
          <w:p w14:paraId="1F4B15C9" w14:textId="77777777" w:rsidR="00AE7DD4" w:rsidRPr="007B6616" w:rsidRDefault="00AE7DD4" w:rsidP="007C574B">
            <w:pPr>
              <w:rPr>
                <w:rFonts w:ascii="Segoe UI" w:hAnsi="Segoe UI" w:cs="Segoe UI"/>
                <w:color w:val="000000"/>
                <w:sz w:val="24"/>
                <w:szCs w:val="24"/>
              </w:rPr>
            </w:pPr>
            <w:r w:rsidRPr="007B6616">
              <w:rPr>
                <w:rFonts w:ascii="Segoe UI" w:hAnsi="Segoe UI" w:cs="Segoe UI"/>
                <w:color w:val="000000"/>
                <w:sz w:val="24"/>
                <w:szCs w:val="24"/>
              </w:rPr>
              <w:t>Climate Change</w:t>
            </w:r>
          </w:p>
          <w:p w14:paraId="004EA0D0" w14:textId="77777777" w:rsidR="00AE7DD4" w:rsidRPr="007B6616" w:rsidRDefault="00AE7DD4" w:rsidP="007C574B">
            <w:pPr>
              <w:rPr>
                <w:rFonts w:ascii="Segoe UI" w:hAnsi="Segoe UI" w:cs="Segoe UI"/>
                <w:color w:val="000000"/>
                <w:sz w:val="24"/>
                <w:szCs w:val="24"/>
              </w:rPr>
            </w:pPr>
          </w:p>
          <w:p w14:paraId="26E2B515" w14:textId="77777777" w:rsidR="00AE7DD4" w:rsidRPr="007B6616" w:rsidRDefault="00AE7DD4" w:rsidP="007C574B">
            <w:pPr>
              <w:rPr>
                <w:rFonts w:ascii="Segoe UI" w:hAnsi="Segoe UI" w:cs="Segoe UI"/>
                <w:color w:val="000000"/>
                <w:sz w:val="24"/>
                <w:szCs w:val="24"/>
              </w:rPr>
            </w:pPr>
          </w:p>
          <w:p w14:paraId="42750CC0" w14:textId="77777777" w:rsidR="00AE7DD4" w:rsidRPr="007B6616" w:rsidRDefault="00AE7DD4" w:rsidP="007C574B">
            <w:pPr>
              <w:rPr>
                <w:rFonts w:ascii="Segoe UI" w:hAnsi="Segoe UI" w:cs="Segoe UI"/>
                <w:color w:val="000000"/>
                <w:sz w:val="24"/>
                <w:szCs w:val="24"/>
              </w:rPr>
            </w:pPr>
          </w:p>
          <w:p w14:paraId="3014FEC2" w14:textId="77777777" w:rsidR="00AE7DD4" w:rsidRPr="007B6616" w:rsidRDefault="00AE7DD4" w:rsidP="007C574B">
            <w:pPr>
              <w:rPr>
                <w:rFonts w:ascii="Segoe UI" w:hAnsi="Segoe UI" w:cs="Segoe UI"/>
                <w:color w:val="000000"/>
                <w:sz w:val="24"/>
                <w:szCs w:val="24"/>
              </w:rPr>
            </w:pPr>
          </w:p>
          <w:p w14:paraId="70244FB9" w14:textId="77777777" w:rsidR="00AE7DD4" w:rsidRPr="007B6616" w:rsidRDefault="00AE7DD4" w:rsidP="007C574B">
            <w:pPr>
              <w:rPr>
                <w:rFonts w:ascii="Segoe UI" w:hAnsi="Segoe UI" w:cs="Segoe UI"/>
                <w:color w:val="000000"/>
                <w:sz w:val="24"/>
                <w:szCs w:val="24"/>
              </w:rPr>
            </w:pPr>
          </w:p>
          <w:p w14:paraId="4CA0B304" w14:textId="77777777" w:rsidR="00AE7DD4" w:rsidRPr="007B6616" w:rsidRDefault="00AE7DD4" w:rsidP="007C574B">
            <w:pPr>
              <w:rPr>
                <w:rFonts w:ascii="Segoe UI" w:hAnsi="Segoe UI" w:cs="Segoe UI"/>
                <w:color w:val="000000"/>
                <w:sz w:val="24"/>
                <w:szCs w:val="24"/>
              </w:rPr>
            </w:pPr>
          </w:p>
          <w:p w14:paraId="4B462B10" w14:textId="77777777" w:rsidR="00AE7DD4" w:rsidRPr="007B6616" w:rsidRDefault="00AE7DD4" w:rsidP="007C574B">
            <w:pPr>
              <w:rPr>
                <w:rFonts w:ascii="Segoe UI" w:hAnsi="Segoe UI" w:cs="Segoe UI"/>
                <w:color w:val="000000"/>
                <w:sz w:val="24"/>
                <w:szCs w:val="24"/>
              </w:rPr>
            </w:pPr>
          </w:p>
          <w:p w14:paraId="2EEC2955" w14:textId="77777777" w:rsidR="00AE7DD4" w:rsidRPr="007B6616" w:rsidRDefault="00AE7DD4" w:rsidP="007C574B">
            <w:pPr>
              <w:rPr>
                <w:rFonts w:ascii="Segoe UI" w:hAnsi="Segoe UI" w:cs="Segoe UI"/>
                <w:color w:val="000000"/>
                <w:sz w:val="24"/>
                <w:szCs w:val="24"/>
              </w:rPr>
            </w:pPr>
          </w:p>
          <w:p w14:paraId="66E1499F" w14:textId="77777777" w:rsidR="007B6616" w:rsidRDefault="007B6616" w:rsidP="007C574B">
            <w:pPr>
              <w:rPr>
                <w:rFonts w:ascii="Segoe UI" w:hAnsi="Segoe UI" w:cs="Segoe UI"/>
                <w:color w:val="000000"/>
                <w:sz w:val="24"/>
                <w:szCs w:val="24"/>
              </w:rPr>
            </w:pPr>
          </w:p>
          <w:p w14:paraId="456EC2F4" w14:textId="486F0A0C" w:rsidR="00AE7DD4" w:rsidRPr="007B6616" w:rsidRDefault="00AE7DD4" w:rsidP="007C574B">
            <w:pPr>
              <w:rPr>
                <w:rFonts w:ascii="Segoe UI" w:hAnsi="Segoe UI" w:cs="Segoe UI"/>
                <w:color w:val="000000"/>
                <w:sz w:val="24"/>
                <w:szCs w:val="24"/>
              </w:rPr>
            </w:pPr>
            <w:r w:rsidRPr="007B6616">
              <w:rPr>
                <w:rFonts w:ascii="Segoe UI" w:hAnsi="Segoe UI" w:cs="Segoe UI"/>
                <w:color w:val="000000"/>
                <w:sz w:val="24"/>
                <w:szCs w:val="24"/>
              </w:rPr>
              <w:t>Means of Shutdown</w:t>
            </w:r>
          </w:p>
        </w:tc>
        <w:tc>
          <w:tcPr>
            <w:tcW w:w="6520" w:type="dxa"/>
          </w:tcPr>
          <w:p w14:paraId="3B5F160F" w14:textId="4F38F619" w:rsidR="00AE7DD4" w:rsidRPr="007B6616" w:rsidRDefault="00AE7DD4" w:rsidP="00856D3F">
            <w:pPr>
              <w:pStyle w:val="ListParagraph"/>
              <w:numPr>
                <w:ilvl w:val="0"/>
                <w:numId w:val="11"/>
              </w:numPr>
              <w:rPr>
                <w:rFonts w:ascii="Segoe UI" w:hAnsi="Segoe UI" w:cs="Segoe UI"/>
                <w:color w:val="000000"/>
                <w:sz w:val="24"/>
                <w:szCs w:val="24"/>
              </w:rPr>
            </w:pPr>
            <w:r w:rsidRPr="007B6616">
              <w:rPr>
                <w:rFonts w:ascii="Segoe UI" w:hAnsi="Segoe UI" w:cs="Segoe UI"/>
                <w:color w:val="000000"/>
                <w:sz w:val="24"/>
                <w:szCs w:val="24"/>
              </w:rPr>
              <w:t xml:space="preserve">Additional studies should be conducted on the impacts of an increase in algal blooms due to climate change impacts on Lake Ontario. The modelling for managing aquatic species’ interactions with water intake equipment needs to be adapted for the </w:t>
            </w:r>
            <w:r w:rsidR="007B6616" w:rsidRPr="007B6616">
              <w:rPr>
                <w:rFonts w:ascii="Segoe UI" w:hAnsi="Segoe UI" w:cs="Segoe UI"/>
                <w:color w:val="000000"/>
                <w:sz w:val="24"/>
                <w:szCs w:val="24"/>
              </w:rPr>
              <w:t>worst-case</w:t>
            </w:r>
            <w:r w:rsidRPr="007B6616">
              <w:rPr>
                <w:rFonts w:ascii="Segoe UI" w:hAnsi="Segoe UI" w:cs="Segoe UI"/>
                <w:color w:val="000000"/>
                <w:sz w:val="24"/>
                <w:szCs w:val="24"/>
              </w:rPr>
              <w:t xml:space="preserve"> scenario due to climate change.</w:t>
            </w:r>
          </w:p>
          <w:p w14:paraId="5BCF49E2" w14:textId="77777777" w:rsidR="00AE7DD4" w:rsidRPr="007B6616" w:rsidRDefault="00AE7DD4" w:rsidP="00856D3F">
            <w:pPr>
              <w:pStyle w:val="ListParagraph"/>
              <w:numPr>
                <w:ilvl w:val="0"/>
                <w:numId w:val="11"/>
              </w:numPr>
              <w:rPr>
                <w:rFonts w:ascii="Segoe UI" w:hAnsi="Segoe UI" w:cs="Segoe UI"/>
                <w:color w:val="000000"/>
                <w:sz w:val="24"/>
                <w:szCs w:val="24"/>
              </w:rPr>
            </w:pPr>
            <w:r w:rsidRPr="007B6616">
              <w:rPr>
                <w:rFonts w:ascii="Segoe UI" w:hAnsi="Segoe UI" w:cs="Segoe UI"/>
                <w:color w:val="000000"/>
                <w:sz w:val="24"/>
                <w:szCs w:val="24"/>
              </w:rPr>
              <w:t>OPG should provide updated information on ambient water temperature trends for Lake Ontario and compare that with the allowed range of inlet temperatures for the BWRX-300 reactor design.</w:t>
            </w:r>
          </w:p>
          <w:p w14:paraId="2E07658B" w14:textId="76EA8B67" w:rsidR="00AE7DD4" w:rsidRPr="007B6616" w:rsidRDefault="00AE7DD4" w:rsidP="00856D3F">
            <w:pPr>
              <w:pStyle w:val="ListParagraph"/>
              <w:numPr>
                <w:ilvl w:val="0"/>
                <w:numId w:val="11"/>
              </w:numPr>
              <w:rPr>
                <w:rFonts w:ascii="Segoe UI" w:hAnsi="Segoe UI" w:cs="Segoe UI"/>
                <w:color w:val="000000"/>
                <w:sz w:val="24"/>
                <w:szCs w:val="24"/>
              </w:rPr>
            </w:pPr>
            <w:r w:rsidRPr="007B6616">
              <w:rPr>
                <w:rFonts w:ascii="Segoe UI" w:hAnsi="Segoe UI" w:cs="Segoe UI"/>
                <w:color w:val="000000"/>
                <w:sz w:val="24"/>
                <w:szCs w:val="24"/>
              </w:rPr>
              <w:t xml:space="preserve">OPG must address how it intends to ensure the proposed reactors will meet the requirement for 2 separate, </w:t>
            </w:r>
            <w:proofErr w:type="gramStart"/>
            <w:r w:rsidRPr="007B6616">
              <w:rPr>
                <w:rFonts w:ascii="Segoe UI" w:hAnsi="Segoe UI" w:cs="Segoe UI"/>
                <w:color w:val="000000"/>
                <w:sz w:val="24"/>
                <w:szCs w:val="24"/>
              </w:rPr>
              <w:t>independent</w:t>
            </w:r>
            <w:proofErr w:type="gramEnd"/>
            <w:r w:rsidRPr="007B6616">
              <w:rPr>
                <w:rFonts w:ascii="Segoe UI" w:hAnsi="Segoe UI" w:cs="Segoe UI"/>
                <w:color w:val="000000"/>
                <w:sz w:val="24"/>
                <w:szCs w:val="24"/>
              </w:rPr>
              <w:t xml:space="preserve"> and diverse means of reactor shutdown.</w:t>
            </w:r>
          </w:p>
        </w:tc>
      </w:tr>
      <w:tr w:rsidR="00AE7DD4" w:rsidRPr="007B6616" w14:paraId="28612980" w14:textId="77777777" w:rsidTr="007B6616">
        <w:tc>
          <w:tcPr>
            <w:tcW w:w="2830" w:type="dxa"/>
          </w:tcPr>
          <w:p w14:paraId="1741EBEC"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Civil Structures</w:t>
            </w:r>
          </w:p>
          <w:p w14:paraId="5FFB5D2B" w14:textId="77777777" w:rsidR="00AE7DD4" w:rsidRPr="007B6616" w:rsidRDefault="00AE7DD4" w:rsidP="00C54C0E">
            <w:pPr>
              <w:pStyle w:val="ListParagraph"/>
              <w:ind w:left="0"/>
              <w:rPr>
                <w:rFonts w:ascii="Segoe UI" w:hAnsi="Segoe UI" w:cs="Segoe UI"/>
                <w:sz w:val="24"/>
                <w:szCs w:val="24"/>
                <w:lang w:val="en-US"/>
              </w:rPr>
            </w:pPr>
          </w:p>
          <w:p w14:paraId="227E3693" w14:textId="77777777" w:rsidR="00AE7DD4" w:rsidRPr="007B6616" w:rsidRDefault="00AE7DD4" w:rsidP="00C54C0E">
            <w:pPr>
              <w:pStyle w:val="ListParagraph"/>
              <w:ind w:left="0"/>
              <w:rPr>
                <w:rFonts w:ascii="Segoe UI" w:hAnsi="Segoe UI" w:cs="Segoe UI"/>
                <w:sz w:val="24"/>
                <w:szCs w:val="24"/>
                <w:lang w:val="en-US"/>
              </w:rPr>
            </w:pPr>
          </w:p>
          <w:p w14:paraId="2D97A7CE" w14:textId="77777777" w:rsidR="00AE7DD4" w:rsidRPr="007B6616" w:rsidRDefault="00AE7DD4" w:rsidP="00C54C0E">
            <w:pPr>
              <w:pStyle w:val="ListParagraph"/>
              <w:ind w:left="0"/>
              <w:rPr>
                <w:rFonts w:ascii="Segoe UI" w:hAnsi="Segoe UI" w:cs="Segoe UI"/>
                <w:sz w:val="24"/>
                <w:szCs w:val="24"/>
                <w:lang w:val="en-US"/>
              </w:rPr>
            </w:pPr>
          </w:p>
          <w:p w14:paraId="5117C824" w14:textId="77777777" w:rsidR="00AE7DD4" w:rsidRPr="007B6616" w:rsidRDefault="00AE7DD4" w:rsidP="00C54C0E">
            <w:pPr>
              <w:pStyle w:val="ListParagraph"/>
              <w:ind w:left="0"/>
              <w:rPr>
                <w:rFonts w:ascii="Segoe UI" w:hAnsi="Segoe UI" w:cs="Segoe UI"/>
                <w:sz w:val="24"/>
                <w:szCs w:val="24"/>
                <w:lang w:val="en-US"/>
              </w:rPr>
            </w:pPr>
          </w:p>
          <w:p w14:paraId="71EE22BA"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General</w:t>
            </w:r>
          </w:p>
          <w:p w14:paraId="2C106897" w14:textId="77777777" w:rsidR="00AE7DD4" w:rsidRPr="007B6616" w:rsidRDefault="00AE7DD4" w:rsidP="00C54C0E">
            <w:pPr>
              <w:pStyle w:val="ListParagraph"/>
              <w:ind w:left="0"/>
              <w:rPr>
                <w:rFonts w:ascii="Segoe UI" w:hAnsi="Segoe UI" w:cs="Segoe UI"/>
                <w:sz w:val="24"/>
                <w:szCs w:val="24"/>
                <w:lang w:val="en-US"/>
              </w:rPr>
            </w:pPr>
          </w:p>
          <w:p w14:paraId="079CE62D" w14:textId="77777777" w:rsidR="00AE7DD4" w:rsidRPr="007B6616" w:rsidRDefault="00AE7DD4" w:rsidP="00C54C0E">
            <w:pPr>
              <w:pStyle w:val="ListParagraph"/>
              <w:ind w:left="0"/>
              <w:rPr>
                <w:rFonts w:ascii="Segoe UI" w:hAnsi="Segoe UI" w:cs="Segoe UI"/>
                <w:sz w:val="24"/>
                <w:szCs w:val="24"/>
                <w:lang w:val="en-US"/>
              </w:rPr>
            </w:pPr>
          </w:p>
          <w:p w14:paraId="40C71362" w14:textId="77777777" w:rsidR="00AE7DD4" w:rsidRPr="007B6616" w:rsidRDefault="00AE7DD4" w:rsidP="00C54C0E">
            <w:pPr>
              <w:pStyle w:val="ListParagraph"/>
              <w:ind w:left="0"/>
              <w:rPr>
                <w:rFonts w:ascii="Segoe UI" w:hAnsi="Segoe UI" w:cs="Segoe UI"/>
                <w:sz w:val="24"/>
                <w:szCs w:val="24"/>
                <w:lang w:val="en-US"/>
              </w:rPr>
            </w:pPr>
          </w:p>
          <w:p w14:paraId="09A774CF" w14:textId="77777777" w:rsidR="00AE7DD4" w:rsidRPr="007B6616" w:rsidRDefault="00AE7DD4" w:rsidP="00C54C0E">
            <w:pPr>
              <w:pStyle w:val="ListParagraph"/>
              <w:ind w:left="0"/>
              <w:rPr>
                <w:rFonts w:ascii="Segoe UI" w:hAnsi="Segoe UI" w:cs="Segoe UI"/>
                <w:sz w:val="24"/>
                <w:szCs w:val="24"/>
                <w:lang w:val="en-US"/>
              </w:rPr>
            </w:pPr>
          </w:p>
          <w:p w14:paraId="383A4D3C" w14:textId="77777777" w:rsidR="00AE7DD4" w:rsidRPr="007B6616" w:rsidRDefault="00AE7DD4" w:rsidP="00C54C0E">
            <w:pPr>
              <w:pStyle w:val="ListParagraph"/>
              <w:ind w:left="0"/>
              <w:rPr>
                <w:rFonts w:ascii="Segoe UI" w:hAnsi="Segoe UI" w:cs="Segoe UI"/>
                <w:sz w:val="24"/>
                <w:szCs w:val="24"/>
                <w:lang w:val="en-US"/>
              </w:rPr>
            </w:pPr>
          </w:p>
          <w:p w14:paraId="5507FE97" w14:textId="77777777" w:rsidR="00AE7DD4" w:rsidRPr="007B6616" w:rsidRDefault="00AE7DD4" w:rsidP="00C54C0E">
            <w:pPr>
              <w:pStyle w:val="ListParagraph"/>
              <w:ind w:left="0"/>
              <w:rPr>
                <w:rFonts w:ascii="Segoe UI" w:hAnsi="Segoe UI" w:cs="Segoe UI"/>
                <w:sz w:val="24"/>
                <w:szCs w:val="24"/>
                <w:lang w:val="en-US"/>
              </w:rPr>
            </w:pPr>
          </w:p>
          <w:p w14:paraId="698E2055" w14:textId="77777777" w:rsidR="00AE7DD4" w:rsidRPr="007B6616" w:rsidRDefault="00AE7DD4" w:rsidP="00C54C0E">
            <w:pPr>
              <w:pStyle w:val="ListParagraph"/>
              <w:ind w:left="0"/>
              <w:rPr>
                <w:rFonts w:ascii="Segoe UI" w:hAnsi="Segoe UI" w:cs="Segoe UI"/>
                <w:sz w:val="24"/>
                <w:szCs w:val="24"/>
                <w:lang w:val="en-US"/>
              </w:rPr>
            </w:pPr>
          </w:p>
          <w:p w14:paraId="6E50BE1E" w14:textId="77777777" w:rsidR="00AE7DD4" w:rsidRPr="007B6616" w:rsidRDefault="00AE7DD4" w:rsidP="00C54C0E">
            <w:pPr>
              <w:pStyle w:val="ListParagraph"/>
              <w:ind w:left="0"/>
              <w:rPr>
                <w:rFonts w:ascii="Segoe UI" w:hAnsi="Segoe UI" w:cs="Segoe UI"/>
                <w:sz w:val="24"/>
                <w:szCs w:val="24"/>
                <w:lang w:val="en-US"/>
              </w:rPr>
            </w:pPr>
          </w:p>
          <w:p w14:paraId="011FB42B" w14:textId="77777777" w:rsidR="00AE7DD4" w:rsidRPr="007B6616" w:rsidRDefault="00AE7DD4" w:rsidP="00C54C0E">
            <w:pPr>
              <w:pStyle w:val="ListParagraph"/>
              <w:ind w:left="0"/>
              <w:rPr>
                <w:rFonts w:ascii="Segoe UI" w:hAnsi="Segoe UI" w:cs="Segoe UI"/>
                <w:sz w:val="24"/>
                <w:szCs w:val="24"/>
                <w:lang w:val="en-US"/>
              </w:rPr>
            </w:pPr>
          </w:p>
          <w:p w14:paraId="5C880A0F" w14:textId="77777777" w:rsidR="00AE7DD4" w:rsidRPr="007B6616" w:rsidRDefault="00AE7DD4" w:rsidP="00C54C0E">
            <w:pPr>
              <w:pStyle w:val="ListParagraph"/>
              <w:ind w:left="0"/>
              <w:rPr>
                <w:rFonts w:ascii="Segoe UI" w:hAnsi="Segoe UI" w:cs="Segoe UI"/>
                <w:sz w:val="24"/>
                <w:szCs w:val="24"/>
                <w:lang w:val="en-US"/>
              </w:rPr>
            </w:pPr>
          </w:p>
          <w:p w14:paraId="3A5C0D78" w14:textId="77777777" w:rsidR="00AE7DD4" w:rsidRPr="007B6616" w:rsidRDefault="00AE7DD4" w:rsidP="00C54C0E">
            <w:pPr>
              <w:pStyle w:val="ListParagraph"/>
              <w:ind w:left="0"/>
              <w:rPr>
                <w:rFonts w:ascii="Segoe UI" w:hAnsi="Segoe UI" w:cs="Segoe UI"/>
                <w:sz w:val="24"/>
                <w:szCs w:val="24"/>
                <w:lang w:val="en-US"/>
              </w:rPr>
            </w:pPr>
          </w:p>
          <w:p w14:paraId="018F23DE" w14:textId="77777777" w:rsidR="00AE7DD4" w:rsidRPr="007B6616" w:rsidRDefault="00AE7DD4" w:rsidP="00C54C0E">
            <w:pPr>
              <w:pStyle w:val="ListParagraph"/>
              <w:ind w:left="0"/>
              <w:rPr>
                <w:rFonts w:ascii="Segoe UI" w:hAnsi="Segoe UI" w:cs="Segoe UI"/>
                <w:sz w:val="24"/>
                <w:szCs w:val="24"/>
                <w:lang w:val="en-US"/>
              </w:rPr>
            </w:pPr>
          </w:p>
          <w:p w14:paraId="4DCBD2F5" w14:textId="77777777" w:rsidR="00AE7DD4" w:rsidRPr="007B6616" w:rsidRDefault="00AE7DD4" w:rsidP="00C54C0E">
            <w:pPr>
              <w:pStyle w:val="ListParagraph"/>
              <w:ind w:left="0"/>
              <w:rPr>
                <w:rFonts w:ascii="Segoe UI" w:hAnsi="Segoe UI" w:cs="Segoe UI"/>
                <w:sz w:val="24"/>
                <w:szCs w:val="24"/>
                <w:lang w:val="en-US"/>
              </w:rPr>
            </w:pPr>
          </w:p>
          <w:p w14:paraId="15135CF8" w14:textId="77777777" w:rsidR="00AE7DD4" w:rsidRPr="007B6616" w:rsidRDefault="00AE7DD4" w:rsidP="00C54C0E">
            <w:pPr>
              <w:pStyle w:val="ListParagraph"/>
              <w:ind w:left="0"/>
              <w:rPr>
                <w:rFonts w:ascii="Segoe UI" w:hAnsi="Segoe UI" w:cs="Segoe UI"/>
                <w:sz w:val="24"/>
                <w:szCs w:val="24"/>
                <w:lang w:val="en-US"/>
              </w:rPr>
            </w:pPr>
          </w:p>
          <w:p w14:paraId="6226C9EE" w14:textId="77777777" w:rsidR="00AE7DD4" w:rsidRPr="007B6616" w:rsidRDefault="00AE7DD4" w:rsidP="00C54C0E">
            <w:pPr>
              <w:pStyle w:val="ListParagraph"/>
              <w:ind w:left="0"/>
              <w:rPr>
                <w:rFonts w:ascii="Segoe UI" w:hAnsi="Segoe UI" w:cs="Segoe UI"/>
                <w:sz w:val="24"/>
                <w:szCs w:val="24"/>
                <w:lang w:val="en-US"/>
              </w:rPr>
            </w:pPr>
          </w:p>
          <w:p w14:paraId="58EFA33B" w14:textId="77777777" w:rsidR="00AE7DD4" w:rsidRPr="007B6616" w:rsidRDefault="00AE7DD4" w:rsidP="00C54C0E">
            <w:pPr>
              <w:pStyle w:val="ListParagraph"/>
              <w:ind w:left="0"/>
              <w:rPr>
                <w:rFonts w:ascii="Segoe UI" w:hAnsi="Segoe UI" w:cs="Segoe UI"/>
                <w:sz w:val="24"/>
                <w:szCs w:val="24"/>
                <w:lang w:val="en-US"/>
              </w:rPr>
            </w:pPr>
          </w:p>
          <w:p w14:paraId="0785CE0D" w14:textId="77777777" w:rsidR="00AE7DD4" w:rsidRPr="007B6616" w:rsidRDefault="00AE7DD4" w:rsidP="00C54C0E">
            <w:pPr>
              <w:pStyle w:val="ListParagraph"/>
              <w:ind w:left="0"/>
              <w:rPr>
                <w:rFonts w:ascii="Segoe UI" w:hAnsi="Segoe UI" w:cs="Segoe UI"/>
                <w:sz w:val="24"/>
                <w:szCs w:val="24"/>
                <w:lang w:val="en-US"/>
              </w:rPr>
            </w:pPr>
          </w:p>
          <w:p w14:paraId="01E1632A" w14:textId="77777777" w:rsidR="00AE7DD4" w:rsidRPr="007B6616" w:rsidRDefault="00AE7DD4" w:rsidP="00C54C0E">
            <w:pPr>
              <w:pStyle w:val="ListParagraph"/>
              <w:ind w:left="0"/>
              <w:rPr>
                <w:rFonts w:ascii="Segoe UI" w:hAnsi="Segoe UI" w:cs="Segoe UI"/>
                <w:sz w:val="24"/>
                <w:szCs w:val="24"/>
                <w:lang w:val="en-US"/>
              </w:rPr>
            </w:pPr>
          </w:p>
          <w:p w14:paraId="0101B144" w14:textId="77777777" w:rsidR="00AE7DD4" w:rsidRPr="007B6616" w:rsidRDefault="00AE7DD4" w:rsidP="00C54C0E">
            <w:pPr>
              <w:pStyle w:val="ListParagraph"/>
              <w:ind w:left="0"/>
              <w:rPr>
                <w:rFonts w:ascii="Segoe UI" w:hAnsi="Segoe UI" w:cs="Segoe UI"/>
                <w:sz w:val="24"/>
                <w:szCs w:val="24"/>
                <w:lang w:val="en-US"/>
              </w:rPr>
            </w:pPr>
          </w:p>
          <w:p w14:paraId="72659610" w14:textId="77777777" w:rsidR="00AE7DD4" w:rsidRPr="007B6616" w:rsidRDefault="00AE7DD4" w:rsidP="00C54C0E">
            <w:pPr>
              <w:pStyle w:val="ListParagraph"/>
              <w:ind w:left="0"/>
              <w:rPr>
                <w:rFonts w:ascii="Segoe UI" w:hAnsi="Segoe UI" w:cs="Segoe UI"/>
                <w:sz w:val="24"/>
                <w:szCs w:val="24"/>
                <w:lang w:val="en-US"/>
              </w:rPr>
            </w:pPr>
          </w:p>
          <w:p w14:paraId="6FD232AB" w14:textId="77777777" w:rsidR="00AE7DD4" w:rsidRPr="007B6616" w:rsidRDefault="00AE7DD4" w:rsidP="00C54C0E">
            <w:pPr>
              <w:pStyle w:val="ListParagraph"/>
              <w:ind w:left="0"/>
              <w:rPr>
                <w:rFonts w:ascii="Segoe UI" w:hAnsi="Segoe UI" w:cs="Segoe UI"/>
                <w:sz w:val="24"/>
                <w:szCs w:val="24"/>
                <w:lang w:val="en-US"/>
              </w:rPr>
            </w:pPr>
          </w:p>
          <w:p w14:paraId="7C6488DD" w14:textId="77777777" w:rsidR="00AE7DD4" w:rsidRPr="007B6616" w:rsidRDefault="00AE7DD4" w:rsidP="00C54C0E">
            <w:pPr>
              <w:pStyle w:val="ListParagraph"/>
              <w:ind w:left="0"/>
              <w:rPr>
                <w:rFonts w:ascii="Segoe UI" w:hAnsi="Segoe UI" w:cs="Segoe UI"/>
                <w:sz w:val="24"/>
                <w:szCs w:val="24"/>
                <w:lang w:val="en-US"/>
              </w:rPr>
            </w:pPr>
          </w:p>
          <w:p w14:paraId="2FB3AF43" w14:textId="77777777" w:rsidR="00AE7DD4" w:rsidRPr="007B6616" w:rsidRDefault="00AE7DD4" w:rsidP="00C54C0E">
            <w:pPr>
              <w:pStyle w:val="ListParagraph"/>
              <w:ind w:left="0"/>
              <w:rPr>
                <w:rFonts w:ascii="Segoe UI" w:hAnsi="Segoe UI" w:cs="Segoe UI"/>
                <w:sz w:val="24"/>
                <w:szCs w:val="24"/>
                <w:lang w:val="en-US"/>
              </w:rPr>
            </w:pPr>
          </w:p>
          <w:p w14:paraId="016AC097" w14:textId="77777777" w:rsidR="00AE7DD4" w:rsidRPr="007B6616" w:rsidRDefault="00AE7DD4" w:rsidP="00C54C0E">
            <w:pPr>
              <w:pStyle w:val="ListParagraph"/>
              <w:ind w:left="0"/>
              <w:rPr>
                <w:rFonts w:ascii="Segoe UI" w:hAnsi="Segoe UI" w:cs="Segoe UI"/>
                <w:sz w:val="24"/>
                <w:szCs w:val="24"/>
                <w:lang w:val="en-US"/>
              </w:rPr>
            </w:pPr>
          </w:p>
          <w:p w14:paraId="631A257D" w14:textId="77777777" w:rsidR="00AE7DD4" w:rsidRPr="007B6616" w:rsidRDefault="00AE7DD4" w:rsidP="00C54C0E">
            <w:pPr>
              <w:pStyle w:val="ListParagraph"/>
              <w:ind w:left="0"/>
              <w:rPr>
                <w:rFonts w:ascii="Segoe UI" w:hAnsi="Segoe UI" w:cs="Segoe UI"/>
                <w:sz w:val="24"/>
                <w:szCs w:val="24"/>
                <w:lang w:val="en-US"/>
              </w:rPr>
            </w:pPr>
          </w:p>
          <w:p w14:paraId="600F39B1" w14:textId="77777777" w:rsidR="00AE7DD4" w:rsidRPr="007B6616" w:rsidRDefault="00AE7DD4" w:rsidP="00C54C0E">
            <w:pPr>
              <w:pStyle w:val="ListParagraph"/>
              <w:ind w:left="0"/>
              <w:rPr>
                <w:rFonts w:ascii="Segoe UI" w:hAnsi="Segoe UI" w:cs="Segoe UI"/>
                <w:sz w:val="24"/>
                <w:szCs w:val="24"/>
                <w:lang w:val="en-US"/>
              </w:rPr>
            </w:pPr>
          </w:p>
          <w:p w14:paraId="04BF28AE" w14:textId="77777777" w:rsidR="00AE7DD4" w:rsidRPr="007B6616" w:rsidRDefault="00AE7DD4" w:rsidP="00C54C0E">
            <w:pPr>
              <w:pStyle w:val="ListParagraph"/>
              <w:ind w:left="0"/>
              <w:rPr>
                <w:rFonts w:ascii="Segoe UI" w:hAnsi="Segoe UI" w:cs="Segoe UI"/>
                <w:sz w:val="24"/>
                <w:szCs w:val="24"/>
                <w:lang w:val="en-US"/>
              </w:rPr>
            </w:pPr>
          </w:p>
          <w:p w14:paraId="6B98CF1C" w14:textId="77777777" w:rsidR="00AE7DD4" w:rsidRPr="007B6616" w:rsidRDefault="00AE7DD4" w:rsidP="00C54C0E">
            <w:pPr>
              <w:pStyle w:val="ListParagraph"/>
              <w:ind w:left="0"/>
              <w:rPr>
                <w:rFonts w:ascii="Segoe UI" w:hAnsi="Segoe UI" w:cs="Segoe UI"/>
                <w:sz w:val="24"/>
                <w:szCs w:val="24"/>
                <w:lang w:val="en-US"/>
              </w:rPr>
            </w:pPr>
          </w:p>
          <w:p w14:paraId="3616195A" w14:textId="77777777" w:rsidR="00AE7DD4" w:rsidRPr="007B6616" w:rsidRDefault="00AE7DD4" w:rsidP="00C54C0E">
            <w:pPr>
              <w:pStyle w:val="ListParagraph"/>
              <w:ind w:left="0"/>
              <w:rPr>
                <w:rFonts w:ascii="Segoe UI" w:hAnsi="Segoe UI" w:cs="Segoe UI"/>
                <w:sz w:val="24"/>
                <w:szCs w:val="24"/>
                <w:lang w:val="en-US"/>
              </w:rPr>
            </w:pPr>
          </w:p>
          <w:p w14:paraId="4C114F42" w14:textId="77777777" w:rsidR="00AE7DD4" w:rsidRPr="007B6616" w:rsidRDefault="00AE7DD4" w:rsidP="00C54C0E">
            <w:pPr>
              <w:pStyle w:val="ListParagraph"/>
              <w:ind w:left="0"/>
              <w:rPr>
                <w:rFonts w:ascii="Segoe UI" w:hAnsi="Segoe UI" w:cs="Segoe UI"/>
                <w:sz w:val="24"/>
                <w:szCs w:val="24"/>
                <w:lang w:val="en-US"/>
              </w:rPr>
            </w:pPr>
          </w:p>
          <w:p w14:paraId="467A9BAC" w14:textId="77777777" w:rsidR="00AE7DD4" w:rsidRPr="007B6616" w:rsidRDefault="00AE7DD4" w:rsidP="00C54C0E">
            <w:pPr>
              <w:pStyle w:val="ListParagraph"/>
              <w:ind w:left="0"/>
              <w:rPr>
                <w:rFonts w:ascii="Segoe UI" w:hAnsi="Segoe UI" w:cs="Segoe UI"/>
                <w:sz w:val="24"/>
                <w:szCs w:val="24"/>
                <w:lang w:val="en-US"/>
              </w:rPr>
            </w:pPr>
          </w:p>
          <w:p w14:paraId="343DAD32" w14:textId="77777777" w:rsidR="00AE7DD4" w:rsidRPr="007B6616" w:rsidRDefault="00AE7DD4" w:rsidP="00C54C0E">
            <w:pPr>
              <w:pStyle w:val="ListParagraph"/>
              <w:ind w:left="0"/>
              <w:rPr>
                <w:rFonts w:ascii="Segoe UI" w:hAnsi="Segoe UI" w:cs="Segoe UI"/>
                <w:sz w:val="24"/>
                <w:szCs w:val="24"/>
                <w:lang w:val="en-US"/>
              </w:rPr>
            </w:pPr>
          </w:p>
          <w:p w14:paraId="14A43C30" w14:textId="77777777" w:rsidR="00AE7DD4" w:rsidRPr="007B6616" w:rsidRDefault="00AE7DD4" w:rsidP="00C54C0E">
            <w:pPr>
              <w:pStyle w:val="ListParagraph"/>
              <w:ind w:left="0"/>
              <w:rPr>
                <w:rFonts w:ascii="Segoe UI" w:hAnsi="Segoe UI" w:cs="Segoe UI"/>
                <w:sz w:val="24"/>
                <w:szCs w:val="24"/>
                <w:lang w:val="en-US"/>
              </w:rPr>
            </w:pPr>
          </w:p>
          <w:p w14:paraId="1FBFE454" w14:textId="77777777" w:rsidR="00AE7DD4" w:rsidRPr="007B6616" w:rsidRDefault="00AE7DD4" w:rsidP="00C54C0E">
            <w:pPr>
              <w:pStyle w:val="ListParagraph"/>
              <w:ind w:left="0"/>
              <w:rPr>
                <w:rFonts w:ascii="Segoe UI" w:hAnsi="Segoe UI" w:cs="Segoe UI"/>
                <w:sz w:val="24"/>
                <w:szCs w:val="24"/>
                <w:lang w:val="en-US"/>
              </w:rPr>
            </w:pPr>
          </w:p>
          <w:p w14:paraId="6998268C" w14:textId="77777777" w:rsidR="00AE7DD4" w:rsidRPr="007B6616" w:rsidRDefault="00AE7DD4" w:rsidP="00C54C0E">
            <w:pPr>
              <w:pStyle w:val="ListParagraph"/>
              <w:ind w:left="0"/>
              <w:rPr>
                <w:rFonts w:ascii="Segoe UI" w:hAnsi="Segoe UI" w:cs="Segoe UI"/>
                <w:sz w:val="24"/>
                <w:szCs w:val="24"/>
                <w:lang w:val="en-US"/>
              </w:rPr>
            </w:pPr>
          </w:p>
          <w:p w14:paraId="145BE875" w14:textId="77777777" w:rsidR="00AE7DD4" w:rsidRPr="007B6616" w:rsidRDefault="00AE7DD4" w:rsidP="00C54C0E">
            <w:pPr>
              <w:pStyle w:val="ListParagraph"/>
              <w:ind w:left="0"/>
              <w:rPr>
                <w:rFonts w:ascii="Segoe UI" w:hAnsi="Segoe UI" w:cs="Segoe UI"/>
                <w:sz w:val="24"/>
                <w:szCs w:val="24"/>
                <w:lang w:val="en-US"/>
              </w:rPr>
            </w:pPr>
          </w:p>
          <w:p w14:paraId="635223F8" w14:textId="77777777" w:rsidR="00AE7DD4" w:rsidRPr="007B6616" w:rsidRDefault="00AE7DD4" w:rsidP="00C54C0E">
            <w:pPr>
              <w:pStyle w:val="ListParagraph"/>
              <w:ind w:left="0"/>
              <w:rPr>
                <w:rFonts w:ascii="Segoe UI" w:hAnsi="Segoe UI" w:cs="Segoe UI"/>
                <w:sz w:val="24"/>
                <w:szCs w:val="24"/>
                <w:lang w:val="en-US"/>
              </w:rPr>
            </w:pPr>
          </w:p>
          <w:p w14:paraId="29FBFCA1" w14:textId="77777777" w:rsidR="00AE7DD4" w:rsidRPr="007B6616" w:rsidRDefault="00AE7DD4" w:rsidP="00C54C0E">
            <w:pPr>
              <w:pStyle w:val="ListParagraph"/>
              <w:ind w:left="0"/>
              <w:rPr>
                <w:rFonts w:ascii="Segoe UI" w:hAnsi="Segoe UI" w:cs="Segoe UI"/>
                <w:sz w:val="24"/>
                <w:szCs w:val="24"/>
                <w:lang w:val="en-US"/>
              </w:rPr>
            </w:pPr>
          </w:p>
          <w:p w14:paraId="3871099B"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Parameters Analysis</w:t>
            </w:r>
          </w:p>
          <w:p w14:paraId="4F064768" w14:textId="77777777" w:rsidR="00AE7DD4" w:rsidRPr="007B6616" w:rsidRDefault="00AE7DD4" w:rsidP="00C54C0E">
            <w:pPr>
              <w:pStyle w:val="ListParagraph"/>
              <w:ind w:left="0"/>
              <w:rPr>
                <w:rFonts w:ascii="Segoe UI" w:hAnsi="Segoe UI" w:cs="Segoe UI"/>
                <w:sz w:val="24"/>
                <w:szCs w:val="24"/>
                <w:lang w:val="en-US"/>
              </w:rPr>
            </w:pPr>
          </w:p>
          <w:p w14:paraId="5332041B" w14:textId="77777777" w:rsidR="00AE7DD4" w:rsidRPr="007B6616" w:rsidRDefault="00AE7DD4" w:rsidP="00C54C0E">
            <w:pPr>
              <w:pStyle w:val="ListParagraph"/>
              <w:ind w:left="0"/>
              <w:rPr>
                <w:rFonts w:ascii="Segoe UI" w:hAnsi="Segoe UI" w:cs="Segoe UI"/>
                <w:sz w:val="24"/>
                <w:szCs w:val="24"/>
                <w:lang w:val="en-US"/>
              </w:rPr>
            </w:pPr>
          </w:p>
          <w:p w14:paraId="3076E4D6" w14:textId="77777777" w:rsidR="00AE7DD4" w:rsidRPr="007B6616" w:rsidRDefault="00AE7DD4" w:rsidP="00C54C0E">
            <w:pPr>
              <w:pStyle w:val="ListParagraph"/>
              <w:ind w:left="0"/>
              <w:rPr>
                <w:rFonts w:ascii="Segoe UI" w:hAnsi="Segoe UI" w:cs="Segoe UI"/>
                <w:sz w:val="24"/>
                <w:szCs w:val="24"/>
                <w:lang w:val="en-US"/>
              </w:rPr>
            </w:pPr>
          </w:p>
          <w:p w14:paraId="12E16160" w14:textId="77777777" w:rsidR="00AE7DD4" w:rsidRPr="007B6616" w:rsidRDefault="00AE7DD4" w:rsidP="00C54C0E">
            <w:pPr>
              <w:pStyle w:val="ListParagraph"/>
              <w:ind w:left="0"/>
              <w:rPr>
                <w:rFonts w:ascii="Segoe UI" w:hAnsi="Segoe UI" w:cs="Segoe UI"/>
                <w:sz w:val="24"/>
                <w:szCs w:val="24"/>
                <w:lang w:val="en-US"/>
              </w:rPr>
            </w:pPr>
          </w:p>
          <w:p w14:paraId="1211DAFD" w14:textId="77777777" w:rsidR="00AE7DD4" w:rsidRPr="007B6616" w:rsidRDefault="00AE7DD4" w:rsidP="00C54C0E">
            <w:pPr>
              <w:pStyle w:val="ListParagraph"/>
              <w:ind w:left="0"/>
              <w:rPr>
                <w:rFonts w:ascii="Segoe UI" w:hAnsi="Segoe UI" w:cs="Segoe UI"/>
                <w:sz w:val="24"/>
                <w:szCs w:val="24"/>
                <w:lang w:val="en-US"/>
              </w:rPr>
            </w:pPr>
          </w:p>
          <w:p w14:paraId="0435D578" w14:textId="77777777" w:rsidR="00AE7DD4" w:rsidRPr="007B6616" w:rsidRDefault="00AE7DD4" w:rsidP="00C54C0E">
            <w:pPr>
              <w:pStyle w:val="ListParagraph"/>
              <w:ind w:left="0"/>
              <w:rPr>
                <w:rFonts w:ascii="Segoe UI" w:hAnsi="Segoe UI" w:cs="Segoe UI"/>
                <w:sz w:val="24"/>
                <w:szCs w:val="24"/>
                <w:lang w:val="en-US"/>
              </w:rPr>
            </w:pPr>
          </w:p>
          <w:p w14:paraId="78EE28A4" w14:textId="77777777" w:rsidR="00AE7DD4" w:rsidRPr="007B6616" w:rsidRDefault="00AE7DD4" w:rsidP="00C54C0E">
            <w:pPr>
              <w:pStyle w:val="ListParagraph"/>
              <w:ind w:left="0"/>
              <w:rPr>
                <w:rFonts w:ascii="Segoe UI" w:hAnsi="Segoe UI" w:cs="Segoe UI"/>
                <w:sz w:val="24"/>
                <w:szCs w:val="24"/>
                <w:lang w:val="en-US"/>
              </w:rPr>
            </w:pPr>
          </w:p>
          <w:p w14:paraId="29EF1BFE" w14:textId="77777777" w:rsidR="00AE7DD4" w:rsidRPr="007B6616" w:rsidRDefault="00AE7DD4" w:rsidP="00C54C0E">
            <w:pPr>
              <w:pStyle w:val="ListParagraph"/>
              <w:ind w:left="0"/>
              <w:rPr>
                <w:rFonts w:ascii="Segoe UI" w:hAnsi="Segoe UI" w:cs="Segoe UI"/>
                <w:sz w:val="24"/>
                <w:szCs w:val="24"/>
                <w:lang w:val="en-US"/>
              </w:rPr>
            </w:pPr>
          </w:p>
          <w:p w14:paraId="200C2C58" w14:textId="77777777" w:rsidR="00AE7DD4" w:rsidRPr="007B6616" w:rsidRDefault="00AE7DD4" w:rsidP="00C54C0E">
            <w:pPr>
              <w:pStyle w:val="ListParagraph"/>
              <w:ind w:left="0"/>
              <w:rPr>
                <w:rFonts w:ascii="Segoe UI" w:hAnsi="Segoe UI" w:cs="Segoe UI"/>
                <w:sz w:val="24"/>
                <w:szCs w:val="24"/>
                <w:lang w:val="en-US"/>
              </w:rPr>
            </w:pPr>
          </w:p>
          <w:p w14:paraId="48022A67" w14:textId="77777777" w:rsidR="00AE7DD4" w:rsidRPr="007B6616" w:rsidRDefault="00AE7DD4" w:rsidP="00C54C0E">
            <w:pPr>
              <w:pStyle w:val="ListParagraph"/>
              <w:ind w:left="0"/>
              <w:rPr>
                <w:rFonts w:ascii="Segoe UI" w:hAnsi="Segoe UI" w:cs="Segoe UI"/>
                <w:sz w:val="24"/>
                <w:szCs w:val="24"/>
                <w:lang w:val="en-US"/>
              </w:rPr>
            </w:pPr>
          </w:p>
          <w:p w14:paraId="1E026A82" w14:textId="77777777" w:rsidR="00AE7DD4" w:rsidRPr="007B6616" w:rsidRDefault="00AE7DD4" w:rsidP="00C54C0E">
            <w:pPr>
              <w:pStyle w:val="ListParagraph"/>
              <w:ind w:left="0"/>
              <w:rPr>
                <w:rFonts w:ascii="Segoe UI" w:hAnsi="Segoe UI" w:cs="Segoe UI"/>
                <w:sz w:val="24"/>
                <w:szCs w:val="24"/>
                <w:lang w:val="en-US"/>
              </w:rPr>
            </w:pPr>
          </w:p>
          <w:p w14:paraId="5B8B96FF" w14:textId="6897AB24"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Releases</w:t>
            </w:r>
          </w:p>
        </w:tc>
        <w:tc>
          <w:tcPr>
            <w:tcW w:w="6520" w:type="dxa"/>
          </w:tcPr>
          <w:p w14:paraId="61F2999A" w14:textId="77777777"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We would like more information about the construction of the intake and discharge structures offshore, including their size and location in Lake Ontario as well as anticipated environmental effects/mitigations.</w:t>
            </w:r>
          </w:p>
          <w:p w14:paraId="05E00328" w14:textId="77777777"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What made these parameters no longer important or of interest to OPG?</w:t>
            </w:r>
          </w:p>
          <w:p w14:paraId="310B9186" w14:textId="77777777"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Did OPG not receive verification that BWRX-300 design is bounded by the PPE?</w:t>
            </w:r>
          </w:p>
          <w:p w14:paraId="2DE2EA39" w14:textId="77777777"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Does it incorporate all values from the BWRX-300? If not, what values are outstanding?</w:t>
            </w:r>
          </w:p>
          <w:p w14:paraId="6EB85171" w14:textId="207BA4BE"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 xml:space="preserve">If GE-Hitachi chose not to participate in the RFP process and the bounding limits for the PPE </w:t>
            </w:r>
            <w:r w:rsidR="009D7B56" w:rsidRPr="007B6616">
              <w:rPr>
                <w:rFonts w:ascii="Segoe UI" w:hAnsi="Segoe UI" w:cs="Segoe UI"/>
                <w:color w:val="000000"/>
                <w:sz w:val="24"/>
                <w:szCs w:val="24"/>
              </w:rPr>
              <w:t>were designed</w:t>
            </w:r>
            <w:r w:rsidRPr="007B6616">
              <w:rPr>
                <w:rFonts w:ascii="Segoe UI" w:hAnsi="Segoe UI" w:cs="Segoe UI"/>
                <w:color w:val="000000"/>
                <w:sz w:val="24"/>
                <w:szCs w:val="24"/>
              </w:rPr>
              <w:t xml:space="preserve"> for the ACR-1000, EPR, and AP-1000, </w:t>
            </w:r>
            <w:r w:rsidR="009D7B56" w:rsidRPr="007B6616">
              <w:rPr>
                <w:rFonts w:ascii="Segoe UI" w:hAnsi="Segoe UI" w:cs="Segoe UI"/>
                <w:color w:val="000000"/>
                <w:sz w:val="24"/>
                <w:szCs w:val="24"/>
              </w:rPr>
              <w:t>how can</w:t>
            </w:r>
            <w:r w:rsidRPr="007B6616">
              <w:rPr>
                <w:rFonts w:ascii="Segoe UI" w:hAnsi="Segoe UI" w:cs="Segoe UI"/>
                <w:color w:val="000000"/>
                <w:sz w:val="24"/>
                <w:szCs w:val="24"/>
              </w:rPr>
              <w:t xml:space="preserve"> the PPE properly capture the values for the BWRX-300 (made by GE-Hitachi) if they were not part of the RFP process?</w:t>
            </w:r>
          </w:p>
          <w:p w14:paraId="1A7179D2" w14:textId="77777777" w:rsid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It is important for the distinctions to be made between the Vendor Design Specific (VDS) parameters and the Reactor Class Specific parameters because the vendor that was chosen did not participate in the design of the PPE and therefore, those parameters that are VDS would not apply?</w:t>
            </w:r>
          </w:p>
          <w:p w14:paraId="75418A1F" w14:textId="5DF85213"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While it is understood that the values of the composite PPE are presumed to capture the values of the BWRX-300 design, it would be prudent to demonstrate a comparison between the designs that were used to create the PPE and the design technology that was chosen. Where does the BWRX-300 differ?</w:t>
            </w:r>
          </w:p>
          <w:p w14:paraId="52A2B5C4" w14:textId="246AC86D"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 xml:space="preserve">The BWRX-300 wasn’t incorporated into the design of the PPE until the revisions at the very end of </w:t>
            </w:r>
            <w:r w:rsidR="007B6616" w:rsidRPr="007B6616">
              <w:rPr>
                <w:rFonts w:ascii="Segoe UI" w:hAnsi="Segoe UI" w:cs="Segoe UI"/>
                <w:color w:val="000000"/>
                <w:sz w:val="24"/>
                <w:szCs w:val="24"/>
              </w:rPr>
              <w:t>the process</w:t>
            </w:r>
            <w:r w:rsidRPr="007B6616">
              <w:rPr>
                <w:rFonts w:ascii="Segoe UI" w:hAnsi="Segoe UI" w:cs="Segoe UI"/>
                <w:color w:val="000000"/>
                <w:sz w:val="24"/>
                <w:szCs w:val="24"/>
              </w:rPr>
              <w:t xml:space="preserve">. This seems contradictory to the purpose </w:t>
            </w:r>
            <w:r w:rsidR="007B6616" w:rsidRPr="007B6616">
              <w:rPr>
                <w:rFonts w:ascii="Segoe UI" w:hAnsi="Segoe UI" w:cs="Segoe UI"/>
                <w:color w:val="000000"/>
                <w:sz w:val="24"/>
                <w:szCs w:val="24"/>
              </w:rPr>
              <w:t>of designing</w:t>
            </w:r>
            <w:r w:rsidRPr="007B6616">
              <w:rPr>
                <w:rFonts w:ascii="Segoe UI" w:hAnsi="Segoe UI" w:cs="Segoe UI"/>
                <w:color w:val="000000"/>
                <w:sz w:val="24"/>
                <w:szCs w:val="24"/>
              </w:rPr>
              <w:t xml:space="preserve"> a PPE specific for the technology that is selected to be used.</w:t>
            </w:r>
          </w:p>
          <w:p w14:paraId="05B8BB50" w14:textId="77777777"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What PPE values were adjusted? Adjusting the parameters is contradictory to the intent of designing the PPE based on reactor designs considered. The BWRX-300 design did not fit within the values used in the PPE or it would not have to be adjusted.</w:t>
            </w:r>
          </w:p>
          <w:p w14:paraId="5D0A22EE" w14:textId="77777777"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Why is the BWRX-300 not included in this list? How many of the BWRX reactors can be built at the Darlington site?</w:t>
            </w:r>
          </w:p>
          <w:p w14:paraId="4FD4BBA5" w14:textId="77777777"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Why was the decision made to create a new switchyard instead of the original plans to expand the previously existing DNGS switchyard? Does this increase the project footprint?</w:t>
            </w:r>
          </w:p>
          <w:p w14:paraId="0DC5D505" w14:textId="77777777"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 xml:space="preserve">P.62 speaks to the site water level, measuring the maximum flood and maximum ground water. If the BWRX is below grade 38 metres, how will these parameters change? </w:t>
            </w:r>
          </w:p>
          <w:p w14:paraId="22BFC33C" w14:textId="77777777" w:rsidR="00AE7DD4" w:rsidRPr="007B6616" w:rsidRDefault="00AE7DD4" w:rsidP="00856D3F">
            <w:pPr>
              <w:pStyle w:val="ListParagraph"/>
              <w:numPr>
                <w:ilvl w:val="0"/>
                <w:numId w:val="12"/>
              </w:numPr>
              <w:rPr>
                <w:rFonts w:ascii="Segoe UI" w:hAnsi="Segoe UI" w:cs="Segoe UI"/>
                <w:color w:val="000000"/>
                <w:sz w:val="24"/>
                <w:szCs w:val="24"/>
              </w:rPr>
            </w:pPr>
            <w:r w:rsidRPr="007B6616">
              <w:rPr>
                <w:rFonts w:ascii="Segoe UI" w:hAnsi="Segoe UI" w:cs="Segoe UI"/>
                <w:color w:val="000000"/>
                <w:sz w:val="24"/>
                <w:szCs w:val="24"/>
              </w:rPr>
              <w:t>P. 61 speaks to earthquakes and the ground acceleration for which the plant is designed. The BWRX was not included in the list of limiting reactors. How will the BWRX design be compromised given that it is deeper below grade than the other reactors?</w:t>
            </w:r>
          </w:p>
          <w:p w14:paraId="7581BABE" w14:textId="7DECF30D" w:rsidR="00AE7DD4" w:rsidRPr="007B6616" w:rsidRDefault="007B6616" w:rsidP="00856D3F">
            <w:pPr>
              <w:pStyle w:val="ListParagraph"/>
              <w:numPr>
                <w:ilvl w:val="0"/>
                <w:numId w:val="12"/>
              </w:numPr>
              <w:rPr>
                <w:rFonts w:ascii="Segoe UI" w:hAnsi="Segoe UI" w:cs="Segoe UI"/>
                <w:color w:val="000000"/>
                <w:sz w:val="24"/>
                <w:szCs w:val="24"/>
              </w:rPr>
            </w:pPr>
            <w:r>
              <w:rPr>
                <w:rFonts w:ascii="Segoe UI" w:hAnsi="Segoe UI" w:cs="Segoe UI"/>
                <w:color w:val="000000"/>
                <w:sz w:val="24"/>
                <w:szCs w:val="24"/>
              </w:rPr>
              <w:t>W</w:t>
            </w:r>
            <w:r w:rsidR="00AE7DD4" w:rsidRPr="007B6616">
              <w:rPr>
                <w:rFonts w:ascii="Segoe UI" w:hAnsi="Segoe UI" w:cs="Segoe UI"/>
                <w:color w:val="000000"/>
                <w:sz w:val="24"/>
                <w:szCs w:val="24"/>
              </w:rPr>
              <w:t xml:space="preserve">hat </w:t>
            </w:r>
            <w:r>
              <w:rPr>
                <w:rFonts w:ascii="Segoe UI" w:hAnsi="Segoe UI" w:cs="Segoe UI"/>
                <w:color w:val="000000"/>
                <w:sz w:val="24"/>
                <w:szCs w:val="24"/>
              </w:rPr>
              <w:t xml:space="preserve">is </w:t>
            </w:r>
            <w:r w:rsidR="00AE7DD4" w:rsidRPr="007B6616">
              <w:rPr>
                <w:rFonts w:ascii="Segoe UI" w:hAnsi="Segoe UI" w:cs="Segoe UI"/>
                <w:color w:val="000000"/>
                <w:sz w:val="24"/>
                <w:szCs w:val="24"/>
              </w:rPr>
              <w:t xml:space="preserve">a boiling water reactor and whether the water becomes radioactive. </w:t>
            </w:r>
          </w:p>
          <w:p w14:paraId="3E5E3DFF" w14:textId="7FA73565" w:rsidR="00AE7DD4" w:rsidRPr="007B6616" w:rsidRDefault="007B6616" w:rsidP="00856D3F">
            <w:pPr>
              <w:pStyle w:val="ListParagraph"/>
              <w:numPr>
                <w:ilvl w:val="0"/>
                <w:numId w:val="12"/>
              </w:numPr>
              <w:rPr>
                <w:rFonts w:ascii="Segoe UI" w:hAnsi="Segoe UI" w:cs="Segoe UI"/>
                <w:color w:val="000000"/>
                <w:sz w:val="24"/>
                <w:szCs w:val="24"/>
              </w:rPr>
            </w:pPr>
            <w:r>
              <w:rPr>
                <w:rFonts w:ascii="Segoe UI" w:hAnsi="Segoe UI" w:cs="Segoe UI"/>
                <w:color w:val="000000"/>
                <w:sz w:val="24"/>
                <w:szCs w:val="24"/>
              </w:rPr>
              <w:t>W</w:t>
            </w:r>
            <w:r w:rsidR="00AE7DD4" w:rsidRPr="007B6616">
              <w:rPr>
                <w:rFonts w:ascii="Segoe UI" w:hAnsi="Segoe UI" w:cs="Segoe UI"/>
                <w:color w:val="000000"/>
                <w:sz w:val="24"/>
                <w:szCs w:val="24"/>
              </w:rPr>
              <w:t>hat happens with the spent water and where it is stored.</w:t>
            </w:r>
          </w:p>
          <w:p w14:paraId="42D960BE" w14:textId="2961444B" w:rsidR="00AE7DD4" w:rsidRPr="007B6616" w:rsidRDefault="007B6616" w:rsidP="00856D3F">
            <w:pPr>
              <w:pStyle w:val="ListParagraph"/>
              <w:numPr>
                <w:ilvl w:val="0"/>
                <w:numId w:val="12"/>
              </w:numPr>
              <w:rPr>
                <w:rFonts w:ascii="Segoe UI" w:hAnsi="Segoe UI" w:cs="Segoe UI"/>
                <w:b/>
                <w:bCs/>
                <w:sz w:val="24"/>
                <w:szCs w:val="24"/>
              </w:rPr>
            </w:pPr>
            <w:r>
              <w:rPr>
                <w:rFonts w:ascii="Segoe UI" w:hAnsi="Segoe UI" w:cs="Segoe UI"/>
                <w:color w:val="000000"/>
                <w:sz w:val="24"/>
                <w:szCs w:val="24"/>
              </w:rPr>
              <w:t xml:space="preserve">Are </w:t>
            </w:r>
            <w:r w:rsidR="00AE7DD4" w:rsidRPr="007B6616">
              <w:rPr>
                <w:rFonts w:ascii="Segoe UI" w:hAnsi="Segoe UI" w:cs="Segoe UI"/>
                <w:color w:val="000000"/>
                <w:sz w:val="24"/>
                <w:szCs w:val="24"/>
              </w:rPr>
              <w:t xml:space="preserve">the impact of the water considered in the environmental report. </w:t>
            </w:r>
          </w:p>
        </w:tc>
      </w:tr>
      <w:tr w:rsidR="00AE7DD4" w:rsidRPr="007B6616" w14:paraId="3BB3B892" w14:textId="77777777" w:rsidTr="007B6616">
        <w:tc>
          <w:tcPr>
            <w:tcW w:w="2830" w:type="dxa"/>
          </w:tcPr>
          <w:p w14:paraId="6CDAE807" w14:textId="01A49F90"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Climate Change</w:t>
            </w:r>
          </w:p>
        </w:tc>
        <w:tc>
          <w:tcPr>
            <w:tcW w:w="6520" w:type="dxa"/>
          </w:tcPr>
          <w:p w14:paraId="3833F110" w14:textId="1DAD00EB" w:rsidR="00AE7DD4" w:rsidRPr="007B6616" w:rsidRDefault="00AE7DD4" w:rsidP="00856D3F">
            <w:pPr>
              <w:pStyle w:val="ListParagraph"/>
              <w:numPr>
                <w:ilvl w:val="0"/>
                <w:numId w:val="13"/>
              </w:numPr>
              <w:rPr>
                <w:rFonts w:ascii="Segoe UI" w:hAnsi="Segoe UI" w:cs="Segoe UI"/>
                <w:b/>
                <w:bCs/>
                <w:sz w:val="24"/>
                <w:szCs w:val="24"/>
              </w:rPr>
            </w:pPr>
            <w:r w:rsidRPr="007B6616">
              <w:rPr>
                <w:rFonts w:ascii="Segoe UI" w:hAnsi="Segoe UI" w:cs="Segoe UI"/>
                <w:color w:val="000000"/>
                <w:sz w:val="24"/>
                <w:szCs w:val="24"/>
              </w:rPr>
              <w:t>Item 2.1.4 "Maximum ambient temperature (0% exceedance) is presently cited at 39.0 C. Given the variability of weather patterns and the potential for extreme heat events, has the impact of temperatures above 39.0°C on the system been considered?"</w:t>
            </w:r>
          </w:p>
        </w:tc>
      </w:tr>
      <w:tr w:rsidR="007C574B" w:rsidRPr="007B6616" w14:paraId="0653BC99" w14:textId="77777777" w:rsidTr="00C150DB">
        <w:tc>
          <w:tcPr>
            <w:tcW w:w="9350" w:type="dxa"/>
            <w:gridSpan w:val="2"/>
            <w:shd w:val="clear" w:color="auto" w:fill="D9D9D9" w:themeFill="background1" w:themeFillShade="D9"/>
          </w:tcPr>
          <w:p w14:paraId="75F9AC4B" w14:textId="4D3F57C8" w:rsidR="007C574B" w:rsidRPr="007B6616" w:rsidRDefault="007C574B" w:rsidP="00C54C0E">
            <w:pPr>
              <w:pStyle w:val="ListParagraph"/>
              <w:ind w:left="0"/>
              <w:rPr>
                <w:rFonts w:ascii="Segoe UI" w:hAnsi="Segoe UI" w:cs="Segoe UI"/>
                <w:b/>
                <w:bCs/>
                <w:sz w:val="24"/>
                <w:szCs w:val="24"/>
                <w:lang w:val="en-US"/>
              </w:rPr>
            </w:pPr>
            <w:r w:rsidRPr="007B6616">
              <w:rPr>
                <w:rFonts w:ascii="Segoe UI" w:hAnsi="Segoe UI" w:cs="Segoe UI"/>
                <w:b/>
                <w:bCs/>
                <w:sz w:val="24"/>
                <w:szCs w:val="24"/>
                <w:lang w:val="en-US"/>
              </w:rPr>
              <w:t>Effluents and Releases</w:t>
            </w:r>
          </w:p>
        </w:tc>
      </w:tr>
      <w:tr w:rsidR="00AE7DD4" w:rsidRPr="007B6616" w14:paraId="15464542" w14:textId="77777777" w:rsidTr="007B6616">
        <w:tc>
          <w:tcPr>
            <w:tcW w:w="2830" w:type="dxa"/>
          </w:tcPr>
          <w:p w14:paraId="412509D2" w14:textId="2062C78F"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Monitoring</w:t>
            </w:r>
          </w:p>
        </w:tc>
        <w:tc>
          <w:tcPr>
            <w:tcW w:w="6520" w:type="dxa"/>
          </w:tcPr>
          <w:p w14:paraId="1E834069" w14:textId="77777777" w:rsidR="00AE7DD4" w:rsidRPr="007B6616" w:rsidRDefault="00AE7DD4" w:rsidP="00856D3F">
            <w:pPr>
              <w:pStyle w:val="ListParagraph"/>
              <w:numPr>
                <w:ilvl w:val="0"/>
                <w:numId w:val="13"/>
              </w:numPr>
              <w:rPr>
                <w:rFonts w:ascii="Segoe UI" w:hAnsi="Segoe UI" w:cs="Segoe UI"/>
                <w:color w:val="000000"/>
                <w:sz w:val="24"/>
                <w:szCs w:val="24"/>
              </w:rPr>
            </w:pPr>
            <w:r w:rsidRPr="007B6616">
              <w:rPr>
                <w:rFonts w:ascii="Segoe UI" w:hAnsi="Segoe UI" w:cs="Segoe UI"/>
                <w:color w:val="000000"/>
                <w:sz w:val="24"/>
                <w:szCs w:val="24"/>
              </w:rPr>
              <w:t>Need for radiation monitoring equipment that would detect and save data on normal operation effluents as well as radiation fields from accidents.</w:t>
            </w:r>
          </w:p>
          <w:p w14:paraId="50D84E72" w14:textId="53716B0F" w:rsidR="00AE7DD4" w:rsidRPr="007B6616" w:rsidRDefault="00AE7DD4" w:rsidP="00C54C0E">
            <w:pPr>
              <w:pStyle w:val="ListParagraph"/>
              <w:ind w:left="0"/>
              <w:rPr>
                <w:rFonts w:ascii="Segoe UI" w:hAnsi="Segoe UI" w:cs="Segoe UI"/>
                <w:b/>
                <w:bCs/>
                <w:sz w:val="24"/>
                <w:szCs w:val="24"/>
              </w:rPr>
            </w:pPr>
          </w:p>
        </w:tc>
      </w:tr>
      <w:tr w:rsidR="00AE7DD4" w:rsidRPr="007B6616" w14:paraId="473A5DDF" w14:textId="77777777" w:rsidTr="007B6616">
        <w:tc>
          <w:tcPr>
            <w:tcW w:w="2830" w:type="dxa"/>
          </w:tcPr>
          <w:p w14:paraId="44BCEB64" w14:textId="0204BA23"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Source Term Inventory</w:t>
            </w:r>
          </w:p>
        </w:tc>
        <w:tc>
          <w:tcPr>
            <w:tcW w:w="6520" w:type="dxa"/>
          </w:tcPr>
          <w:p w14:paraId="5BA0E9E8" w14:textId="2720D8B0" w:rsidR="00AE7DD4" w:rsidRPr="007B6616" w:rsidRDefault="00AE7DD4" w:rsidP="00856D3F">
            <w:pPr>
              <w:pStyle w:val="ListParagraph"/>
              <w:numPr>
                <w:ilvl w:val="0"/>
                <w:numId w:val="13"/>
              </w:numPr>
              <w:rPr>
                <w:rFonts w:ascii="Segoe UI" w:hAnsi="Segoe UI" w:cs="Segoe UI"/>
                <w:b/>
                <w:bCs/>
                <w:sz w:val="24"/>
                <w:szCs w:val="24"/>
              </w:rPr>
            </w:pPr>
            <w:r w:rsidRPr="007B6616">
              <w:rPr>
                <w:rFonts w:ascii="Segoe UI" w:hAnsi="Segoe UI" w:cs="Segoe UI"/>
                <w:color w:val="000000"/>
                <w:sz w:val="24"/>
                <w:szCs w:val="24"/>
              </w:rPr>
              <w:t>Iodine emissions from the BWRX-300 will be higher than anticipated in the EIS. Please explain the impacts of higher levels of radioactive iodine emissions in the atmosphere to humans and the environment.</w:t>
            </w:r>
          </w:p>
        </w:tc>
      </w:tr>
      <w:tr w:rsidR="00AE7DD4" w:rsidRPr="007B6616" w14:paraId="553EF388" w14:textId="77777777" w:rsidTr="007B6616">
        <w:tc>
          <w:tcPr>
            <w:tcW w:w="2830" w:type="dxa"/>
          </w:tcPr>
          <w:p w14:paraId="61AC5C2E"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Releases</w:t>
            </w:r>
          </w:p>
          <w:p w14:paraId="7884FE0F" w14:textId="77777777" w:rsidR="00AE7DD4" w:rsidRPr="007B6616" w:rsidRDefault="00AE7DD4" w:rsidP="00C54C0E">
            <w:pPr>
              <w:pStyle w:val="ListParagraph"/>
              <w:ind w:left="0"/>
              <w:rPr>
                <w:rFonts w:ascii="Segoe UI" w:hAnsi="Segoe UI" w:cs="Segoe UI"/>
                <w:sz w:val="24"/>
                <w:szCs w:val="24"/>
                <w:lang w:val="en-US"/>
              </w:rPr>
            </w:pPr>
          </w:p>
          <w:p w14:paraId="01C50E68" w14:textId="77777777" w:rsidR="00AE7DD4" w:rsidRPr="007B6616" w:rsidRDefault="00AE7DD4" w:rsidP="00C54C0E">
            <w:pPr>
              <w:pStyle w:val="ListParagraph"/>
              <w:ind w:left="0"/>
              <w:rPr>
                <w:rFonts w:ascii="Segoe UI" w:hAnsi="Segoe UI" w:cs="Segoe UI"/>
                <w:sz w:val="24"/>
                <w:szCs w:val="24"/>
                <w:lang w:val="en-US"/>
              </w:rPr>
            </w:pPr>
          </w:p>
          <w:p w14:paraId="77A31FC3" w14:textId="77777777" w:rsidR="00AE7DD4" w:rsidRPr="007B6616" w:rsidRDefault="00AE7DD4" w:rsidP="00C54C0E">
            <w:pPr>
              <w:pStyle w:val="ListParagraph"/>
              <w:ind w:left="0"/>
              <w:rPr>
                <w:rFonts w:ascii="Segoe UI" w:hAnsi="Segoe UI" w:cs="Segoe UI"/>
                <w:sz w:val="24"/>
                <w:szCs w:val="24"/>
                <w:lang w:val="en-US"/>
              </w:rPr>
            </w:pPr>
          </w:p>
          <w:p w14:paraId="38EBE51C" w14:textId="77777777" w:rsidR="00AE7DD4" w:rsidRPr="007B6616" w:rsidRDefault="00AE7DD4" w:rsidP="00C54C0E">
            <w:pPr>
              <w:pStyle w:val="ListParagraph"/>
              <w:ind w:left="0"/>
              <w:rPr>
                <w:rFonts w:ascii="Segoe UI" w:hAnsi="Segoe UI" w:cs="Segoe UI"/>
                <w:sz w:val="24"/>
                <w:szCs w:val="24"/>
                <w:lang w:val="en-US"/>
              </w:rPr>
            </w:pPr>
          </w:p>
          <w:p w14:paraId="2BA4D565" w14:textId="77777777" w:rsidR="00AE7DD4" w:rsidRPr="007B6616" w:rsidRDefault="00AE7DD4" w:rsidP="00C54C0E">
            <w:pPr>
              <w:pStyle w:val="ListParagraph"/>
              <w:ind w:left="0"/>
              <w:rPr>
                <w:rFonts w:ascii="Segoe UI" w:hAnsi="Segoe UI" w:cs="Segoe UI"/>
                <w:sz w:val="24"/>
                <w:szCs w:val="24"/>
                <w:lang w:val="en-US"/>
              </w:rPr>
            </w:pPr>
          </w:p>
          <w:p w14:paraId="788048B1" w14:textId="77777777" w:rsidR="00AE7DD4" w:rsidRPr="007B6616" w:rsidRDefault="00AE7DD4" w:rsidP="00C54C0E">
            <w:pPr>
              <w:pStyle w:val="ListParagraph"/>
              <w:ind w:left="0"/>
              <w:rPr>
                <w:rFonts w:ascii="Segoe UI" w:hAnsi="Segoe UI" w:cs="Segoe UI"/>
                <w:sz w:val="24"/>
                <w:szCs w:val="24"/>
                <w:lang w:val="en-US"/>
              </w:rPr>
            </w:pPr>
          </w:p>
          <w:p w14:paraId="608B193F" w14:textId="77777777" w:rsidR="00AE7DD4" w:rsidRPr="007B6616" w:rsidRDefault="00AE7DD4" w:rsidP="00C54C0E">
            <w:pPr>
              <w:pStyle w:val="ListParagraph"/>
              <w:ind w:left="0"/>
              <w:rPr>
                <w:rFonts w:ascii="Segoe UI" w:hAnsi="Segoe UI" w:cs="Segoe UI"/>
                <w:sz w:val="24"/>
                <w:szCs w:val="24"/>
                <w:lang w:val="en-US"/>
              </w:rPr>
            </w:pPr>
          </w:p>
          <w:p w14:paraId="5218A3FF" w14:textId="3F94960A"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Source Term Inventory</w:t>
            </w:r>
          </w:p>
        </w:tc>
        <w:tc>
          <w:tcPr>
            <w:tcW w:w="6520" w:type="dxa"/>
          </w:tcPr>
          <w:p w14:paraId="2C03AE2C" w14:textId="77777777" w:rsidR="00AE7DD4" w:rsidRPr="007B6616" w:rsidRDefault="00AE7DD4" w:rsidP="00856D3F">
            <w:pPr>
              <w:pStyle w:val="ListParagraph"/>
              <w:numPr>
                <w:ilvl w:val="0"/>
                <w:numId w:val="13"/>
              </w:numPr>
              <w:rPr>
                <w:rFonts w:ascii="Segoe UI" w:hAnsi="Segoe UI" w:cs="Segoe UI"/>
                <w:color w:val="000000"/>
                <w:sz w:val="24"/>
                <w:szCs w:val="24"/>
              </w:rPr>
            </w:pPr>
            <w:r w:rsidRPr="007B6616">
              <w:rPr>
                <w:rFonts w:ascii="Segoe UI" w:hAnsi="Segoe UI" w:cs="Segoe UI"/>
                <w:color w:val="000000"/>
                <w:sz w:val="24"/>
                <w:szCs w:val="24"/>
              </w:rPr>
              <w:t>Table 5 includes a note that “the radionuclides in gaseous effluents, liquid effluents, and solid waste are the same as in the EIS, but their proportions have changed” but there is no reference for a supporting document; it would be useful to have the data on how their proportions have changed.</w:t>
            </w:r>
          </w:p>
          <w:p w14:paraId="16585198" w14:textId="40DB948F" w:rsidR="00AE7DD4" w:rsidRPr="007B6616" w:rsidRDefault="00AE7DD4" w:rsidP="00856D3F">
            <w:pPr>
              <w:pStyle w:val="ListParagraph"/>
              <w:numPr>
                <w:ilvl w:val="0"/>
                <w:numId w:val="13"/>
              </w:numPr>
              <w:rPr>
                <w:rFonts w:ascii="Segoe UI" w:hAnsi="Segoe UI" w:cs="Segoe UI"/>
                <w:color w:val="000000"/>
                <w:sz w:val="24"/>
                <w:szCs w:val="24"/>
              </w:rPr>
            </w:pPr>
            <w:r w:rsidRPr="007B6616">
              <w:rPr>
                <w:rFonts w:ascii="Segoe UI" w:hAnsi="Segoe UI" w:cs="Segoe UI"/>
                <w:color w:val="000000"/>
                <w:sz w:val="24"/>
                <w:szCs w:val="24"/>
              </w:rPr>
              <w:t>Section 5.3.6 “Radiation and Radioactivity Environment” also states that “A comparison of emissions from the BWRX-300 reactor and the reactors assessed in the EIS, found that tritium, carbon-14, particulates, and noble gases emissions from the BWRX-300 are less than these emissions for the reactors assessed in the EIS. In contrast, the emissions of iodine are higher for the BWRX-300 than the values assumed in the EIS”; again, no supporting information is provided, and equally troubling is the absence of any discussion of the consequences of higher levels of iodine emissions</w:t>
            </w:r>
          </w:p>
        </w:tc>
      </w:tr>
      <w:tr w:rsidR="00AE7DD4" w:rsidRPr="007B6616" w14:paraId="1E6FE131" w14:textId="77777777" w:rsidTr="007B6616">
        <w:tc>
          <w:tcPr>
            <w:tcW w:w="2830" w:type="dxa"/>
          </w:tcPr>
          <w:p w14:paraId="1C8A3C5C" w14:textId="719DEC1F"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Source Term Inventory</w:t>
            </w:r>
          </w:p>
        </w:tc>
        <w:tc>
          <w:tcPr>
            <w:tcW w:w="6520" w:type="dxa"/>
          </w:tcPr>
          <w:p w14:paraId="7E3A522F" w14:textId="7E0F66C4" w:rsidR="00AE7DD4" w:rsidRPr="007B6616" w:rsidRDefault="00AE7DD4" w:rsidP="00856D3F">
            <w:pPr>
              <w:pStyle w:val="ListParagraph"/>
              <w:numPr>
                <w:ilvl w:val="0"/>
                <w:numId w:val="14"/>
              </w:numPr>
              <w:rPr>
                <w:rFonts w:ascii="Segoe UI" w:hAnsi="Segoe UI" w:cs="Segoe UI"/>
                <w:color w:val="000000"/>
                <w:sz w:val="24"/>
                <w:szCs w:val="24"/>
              </w:rPr>
            </w:pPr>
            <w:r w:rsidRPr="007B6616">
              <w:rPr>
                <w:rFonts w:ascii="Segoe UI" w:hAnsi="Segoe UI" w:cs="Segoe UI"/>
                <w:color w:val="000000"/>
                <w:sz w:val="24"/>
                <w:szCs w:val="24"/>
              </w:rPr>
              <w:t>In Table 4.1: Airborne Source Term Single Reactor, it appears that the BWRX-300 is projected to release higher quantities of certain individual isotopes when compared to other reactors that were previously considered. Notably, a greater amount of radioiodine appears to be released from this reactor compared to others.</w:t>
            </w:r>
          </w:p>
        </w:tc>
      </w:tr>
      <w:tr w:rsidR="00AE7DD4" w:rsidRPr="007B6616" w14:paraId="73537C4F" w14:textId="77777777" w:rsidTr="007B6616">
        <w:tc>
          <w:tcPr>
            <w:tcW w:w="2830" w:type="dxa"/>
          </w:tcPr>
          <w:p w14:paraId="2D8BC899" w14:textId="7D9D888A"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Releases</w:t>
            </w:r>
          </w:p>
        </w:tc>
        <w:tc>
          <w:tcPr>
            <w:tcW w:w="6520" w:type="dxa"/>
          </w:tcPr>
          <w:p w14:paraId="669B6A8C" w14:textId="51ADB228" w:rsidR="00AE7DD4" w:rsidRPr="007B6616" w:rsidRDefault="00AE7DD4" w:rsidP="00856D3F">
            <w:pPr>
              <w:pStyle w:val="ListParagraph"/>
              <w:numPr>
                <w:ilvl w:val="0"/>
                <w:numId w:val="14"/>
              </w:numPr>
              <w:rPr>
                <w:rFonts w:ascii="Segoe UI" w:hAnsi="Segoe UI" w:cs="Segoe UI"/>
                <w:b/>
                <w:bCs/>
                <w:sz w:val="24"/>
                <w:szCs w:val="24"/>
              </w:rPr>
            </w:pPr>
            <w:r w:rsidRPr="007B6616">
              <w:rPr>
                <w:rFonts w:ascii="Segoe UI" w:hAnsi="Segoe UI" w:cs="Segoe UI"/>
                <w:color w:val="000000"/>
                <w:sz w:val="24"/>
                <w:szCs w:val="24"/>
              </w:rPr>
              <w:t>Who decides how much effluent release is fine, and what guidelines are available for OPG to follow? How was it decided that the parameters have no differences?</w:t>
            </w:r>
          </w:p>
        </w:tc>
      </w:tr>
      <w:tr w:rsidR="000F545D" w:rsidRPr="007B6616" w14:paraId="46866F12" w14:textId="77777777" w:rsidTr="00C150DB">
        <w:tc>
          <w:tcPr>
            <w:tcW w:w="9350" w:type="dxa"/>
            <w:gridSpan w:val="2"/>
            <w:shd w:val="clear" w:color="auto" w:fill="D9D9D9" w:themeFill="background1" w:themeFillShade="D9"/>
          </w:tcPr>
          <w:p w14:paraId="03B80AE4" w14:textId="124440AB" w:rsidR="000F545D" w:rsidRPr="007B6616" w:rsidRDefault="000F545D" w:rsidP="00C54C0E">
            <w:pPr>
              <w:pStyle w:val="ListParagraph"/>
              <w:ind w:left="0"/>
              <w:rPr>
                <w:rFonts w:ascii="Segoe UI" w:hAnsi="Segoe UI" w:cs="Segoe UI"/>
                <w:b/>
                <w:bCs/>
                <w:sz w:val="24"/>
                <w:szCs w:val="24"/>
                <w:lang w:val="en-US"/>
              </w:rPr>
            </w:pPr>
            <w:r w:rsidRPr="007B6616">
              <w:rPr>
                <w:rFonts w:ascii="Segoe UI" w:hAnsi="Segoe UI" w:cs="Segoe UI"/>
                <w:b/>
                <w:bCs/>
                <w:sz w:val="24"/>
                <w:szCs w:val="24"/>
                <w:lang w:val="en-US"/>
              </w:rPr>
              <w:t>Emergency Management</w:t>
            </w:r>
          </w:p>
        </w:tc>
      </w:tr>
      <w:tr w:rsidR="00AE7DD4" w:rsidRPr="007B6616" w14:paraId="597B697D" w14:textId="77777777" w:rsidTr="007B6616">
        <w:tc>
          <w:tcPr>
            <w:tcW w:w="2830" w:type="dxa"/>
          </w:tcPr>
          <w:p w14:paraId="444C48D9"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Exclusion and Emergency Protection Zones</w:t>
            </w:r>
          </w:p>
          <w:p w14:paraId="61124111" w14:textId="77777777" w:rsidR="00AE7DD4" w:rsidRPr="007B6616" w:rsidRDefault="00AE7DD4" w:rsidP="00C54C0E">
            <w:pPr>
              <w:pStyle w:val="ListParagraph"/>
              <w:ind w:left="0"/>
              <w:rPr>
                <w:rFonts w:ascii="Segoe UI" w:hAnsi="Segoe UI" w:cs="Segoe UI"/>
                <w:sz w:val="24"/>
                <w:szCs w:val="24"/>
                <w:lang w:val="en-US"/>
              </w:rPr>
            </w:pPr>
          </w:p>
          <w:p w14:paraId="6946A02F" w14:textId="77777777" w:rsidR="00AE7DD4" w:rsidRPr="007B6616" w:rsidRDefault="00AE7DD4" w:rsidP="00C54C0E">
            <w:pPr>
              <w:pStyle w:val="ListParagraph"/>
              <w:ind w:left="0"/>
              <w:rPr>
                <w:rFonts w:ascii="Segoe UI" w:hAnsi="Segoe UI" w:cs="Segoe UI"/>
                <w:sz w:val="24"/>
                <w:szCs w:val="24"/>
                <w:lang w:val="en-US"/>
              </w:rPr>
            </w:pPr>
          </w:p>
          <w:p w14:paraId="14001DB9" w14:textId="77777777" w:rsidR="00AE7DD4" w:rsidRPr="007B6616" w:rsidRDefault="00AE7DD4" w:rsidP="00C54C0E">
            <w:pPr>
              <w:pStyle w:val="ListParagraph"/>
              <w:ind w:left="0"/>
              <w:rPr>
                <w:rFonts w:ascii="Segoe UI" w:hAnsi="Segoe UI" w:cs="Segoe UI"/>
                <w:sz w:val="24"/>
                <w:szCs w:val="24"/>
                <w:lang w:val="en-US"/>
              </w:rPr>
            </w:pPr>
          </w:p>
          <w:p w14:paraId="66D69B4D" w14:textId="77777777" w:rsidR="00AE7DD4" w:rsidRPr="007B6616" w:rsidRDefault="00AE7DD4" w:rsidP="00C54C0E">
            <w:pPr>
              <w:pStyle w:val="ListParagraph"/>
              <w:ind w:left="0"/>
              <w:rPr>
                <w:rFonts w:ascii="Segoe UI" w:hAnsi="Segoe UI" w:cs="Segoe UI"/>
                <w:sz w:val="24"/>
                <w:szCs w:val="24"/>
                <w:lang w:val="en-US"/>
              </w:rPr>
            </w:pPr>
          </w:p>
          <w:p w14:paraId="6AECCA94" w14:textId="77777777" w:rsidR="00AE7DD4" w:rsidRPr="007B6616" w:rsidRDefault="00AE7DD4" w:rsidP="00C54C0E">
            <w:pPr>
              <w:pStyle w:val="ListParagraph"/>
              <w:ind w:left="0"/>
              <w:rPr>
                <w:rFonts w:ascii="Segoe UI" w:hAnsi="Segoe UI" w:cs="Segoe UI"/>
                <w:sz w:val="24"/>
                <w:szCs w:val="24"/>
                <w:lang w:val="en-US"/>
              </w:rPr>
            </w:pPr>
          </w:p>
          <w:p w14:paraId="287228E9" w14:textId="77777777" w:rsidR="00AE7DD4" w:rsidRPr="007B6616" w:rsidRDefault="00AE7DD4" w:rsidP="00C54C0E">
            <w:pPr>
              <w:pStyle w:val="ListParagraph"/>
              <w:ind w:left="0"/>
              <w:rPr>
                <w:rFonts w:ascii="Segoe UI" w:hAnsi="Segoe UI" w:cs="Segoe UI"/>
                <w:sz w:val="24"/>
                <w:szCs w:val="24"/>
                <w:lang w:val="en-US"/>
              </w:rPr>
            </w:pPr>
          </w:p>
          <w:p w14:paraId="7367A677" w14:textId="77777777" w:rsidR="00AE7DD4" w:rsidRPr="007B6616" w:rsidRDefault="00AE7DD4" w:rsidP="00C54C0E">
            <w:pPr>
              <w:pStyle w:val="ListParagraph"/>
              <w:ind w:left="0"/>
              <w:rPr>
                <w:rFonts w:ascii="Segoe UI" w:hAnsi="Segoe UI" w:cs="Segoe UI"/>
                <w:sz w:val="24"/>
                <w:szCs w:val="24"/>
                <w:lang w:val="en-US"/>
              </w:rPr>
            </w:pPr>
          </w:p>
          <w:p w14:paraId="653DE8BB" w14:textId="680E1803"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Severe Accident Management</w:t>
            </w:r>
          </w:p>
        </w:tc>
        <w:tc>
          <w:tcPr>
            <w:tcW w:w="6520" w:type="dxa"/>
          </w:tcPr>
          <w:p w14:paraId="3616864A" w14:textId="77777777" w:rsidR="00AE7DD4" w:rsidRPr="007B6616" w:rsidRDefault="00AE7DD4" w:rsidP="00856D3F">
            <w:pPr>
              <w:pStyle w:val="ListParagraph"/>
              <w:numPr>
                <w:ilvl w:val="0"/>
                <w:numId w:val="14"/>
              </w:numPr>
              <w:rPr>
                <w:rFonts w:ascii="Segoe UI" w:hAnsi="Segoe UI" w:cs="Segoe UI"/>
                <w:color w:val="000000"/>
                <w:sz w:val="24"/>
                <w:szCs w:val="24"/>
              </w:rPr>
            </w:pPr>
            <w:r w:rsidRPr="007B6616">
              <w:rPr>
                <w:rFonts w:ascii="Segoe UI" w:hAnsi="Segoe UI" w:cs="Segoe UI"/>
                <w:color w:val="000000"/>
                <w:sz w:val="24"/>
                <w:szCs w:val="24"/>
              </w:rPr>
              <w:t>That no new reactor be allowed by CNSC to be built within the exclusion zone of any other existing reactor.</w:t>
            </w:r>
          </w:p>
          <w:p w14:paraId="4FAB2FEB" w14:textId="77777777" w:rsidR="00AE7DD4" w:rsidRPr="007B6616" w:rsidRDefault="00AE7DD4" w:rsidP="00856D3F">
            <w:pPr>
              <w:pStyle w:val="ListParagraph"/>
              <w:numPr>
                <w:ilvl w:val="0"/>
                <w:numId w:val="14"/>
              </w:numPr>
              <w:rPr>
                <w:rFonts w:ascii="Segoe UI" w:hAnsi="Segoe UI" w:cs="Segoe UI"/>
                <w:b/>
                <w:bCs/>
                <w:sz w:val="24"/>
                <w:szCs w:val="24"/>
              </w:rPr>
            </w:pPr>
            <w:r w:rsidRPr="007B6616">
              <w:rPr>
                <w:rFonts w:ascii="Segoe UI" w:hAnsi="Segoe UI" w:cs="Segoe UI"/>
                <w:color w:val="000000"/>
                <w:sz w:val="24"/>
                <w:szCs w:val="24"/>
              </w:rPr>
              <w:t xml:space="preserve">That OPG be required by CNSC to derive science-based exclusion zones for both </w:t>
            </w:r>
            <w:r w:rsidRPr="007B6616">
              <w:rPr>
                <w:rFonts w:ascii="Segoe UI" w:hAnsi="Segoe UI" w:cs="Segoe UI"/>
                <w:color w:val="000000"/>
                <w:sz w:val="24"/>
                <w:szCs w:val="24"/>
              </w:rPr>
              <w:br/>
              <w:t>Darlington NGS and for the proposed BWRX-300 reactor according to the criteria laid out in U.S. NRC document 100.11.</w:t>
            </w:r>
          </w:p>
          <w:p w14:paraId="75F4939F" w14:textId="77777777" w:rsidR="00AE7DD4" w:rsidRPr="007B6616" w:rsidRDefault="00AE7DD4" w:rsidP="00856D3F">
            <w:pPr>
              <w:pStyle w:val="ListParagraph"/>
              <w:numPr>
                <w:ilvl w:val="0"/>
                <w:numId w:val="14"/>
              </w:numPr>
              <w:rPr>
                <w:rFonts w:ascii="Segoe UI" w:hAnsi="Segoe UI" w:cs="Segoe UI"/>
                <w:b/>
                <w:bCs/>
                <w:sz w:val="24"/>
                <w:szCs w:val="24"/>
              </w:rPr>
            </w:pPr>
            <w:r w:rsidRPr="007B6616">
              <w:rPr>
                <w:rFonts w:ascii="Segoe UI" w:hAnsi="Segoe UI" w:cs="Segoe UI"/>
                <w:color w:val="000000"/>
                <w:sz w:val="24"/>
                <w:szCs w:val="24"/>
              </w:rPr>
              <w:t xml:space="preserve">Concept of PPE, the plant and site data that it collects was developed before the Fukushima disaster struck in 2012. That was also long before we all took a good look at the vulnerabilities to severe accidents that our reactors inherited and developed a semblance of accident management guidelines, engineered measures, new </w:t>
            </w:r>
            <w:proofErr w:type="gramStart"/>
            <w:r w:rsidRPr="007B6616">
              <w:rPr>
                <w:rFonts w:ascii="Segoe UI" w:hAnsi="Segoe UI" w:cs="Segoe UI"/>
                <w:color w:val="000000"/>
                <w:sz w:val="24"/>
                <w:szCs w:val="24"/>
              </w:rPr>
              <w:t>systems</w:t>
            </w:r>
            <w:proofErr w:type="gramEnd"/>
            <w:r w:rsidRPr="007B6616">
              <w:rPr>
                <w:rFonts w:ascii="Segoe UI" w:hAnsi="Segoe UI" w:cs="Segoe UI"/>
                <w:color w:val="000000"/>
                <w:sz w:val="24"/>
                <w:szCs w:val="24"/>
              </w:rPr>
              <w:t xml:space="preserve"> and coordination mechanisms for emergency planning. Given that the OPG PPE is so wanting in detail and the new reactor design make unsubstantiated claims about their infallibility, there is a need to reflect these topics in that in the PPE data. Both common sense and NEI-10-Rev. 2 guidelines require that severe accident mitigation related information be included and with clarity and detail. It feels like the parties never heard of Fukushima or the conclusions of its investigations into the root causes.</w:t>
            </w:r>
          </w:p>
          <w:p w14:paraId="3027DAA7" w14:textId="77777777" w:rsidR="00AE7DD4" w:rsidRPr="007B6616" w:rsidRDefault="00AE7DD4" w:rsidP="00856D3F">
            <w:pPr>
              <w:pStyle w:val="ListParagraph"/>
              <w:numPr>
                <w:ilvl w:val="0"/>
                <w:numId w:val="14"/>
              </w:numPr>
              <w:rPr>
                <w:rFonts w:ascii="Segoe UI" w:hAnsi="Segoe UI" w:cs="Segoe UI"/>
                <w:b/>
                <w:bCs/>
                <w:sz w:val="24"/>
                <w:szCs w:val="24"/>
              </w:rPr>
            </w:pPr>
            <w:r w:rsidRPr="007B6616">
              <w:rPr>
                <w:rFonts w:ascii="Segoe UI" w:hAnsi="Segoe UI" w:cs="Segoe UI"/>
                <w:color w:val="000000"/>
                <w:sz w:val="24"/>
                <w:szCs w:val="24"/>
              </w:rPr>
              <w:t>Effect of a severe core damage accident at an operating unit on safety of personnel engaged in construction of the new reactor(s) was not considered. The source term data given to the Emergency Management Organizations by utility running the operating reactors is irresponsibly fraudulent and cannot be used to prepare emergency evacuation or sheltering processes for our fellow citizens working on site.</w:t>
            </w:r>
          </w:p>
          <w:p w14:paraId="13164C57" w14:textId="02784B4D" w:rsidR="00AE7DD4" w:rsidRPr="007B6616" w:rsidRDefault="00AE7DD4" w:rsidP="00856D3F">
            <w:pPr>
              <w:pStyle w:val="ListParagraph"/>
              <w:numPr>
                <w:ilvl w:val="0"/>
                <w:numId w:val="14"/>
              </w:numPr>
              <w:rPr>
                <w:rFonts w:ascii="Segoe UI" w:hAnsi="Segoe UI" w:cs="Segoe UI"/>
                <w:b/>
                <w:bCs/>
                <w:sz w:val="24"/>
                <w:szCs w:val="24"/>
              </w:rPr>
            </w:pPr>
            <w:r w:rsidRPr="007B6616">
              <w:rPr>
                <w:rFonts w:ascii="Segoe UI" w:hAnsi="Segoe UI" w:cs="Segoe UI"/>
                <w:color w:val="000000"/>
                <w:sz w:val="24"/>
                <w:szCs w:val="24"/>
              </w:rPr>
              <w:t>Effect of an accident at one of the operating units on construction, operation or decommissioning of the new reactor was not given.</w:t>
            </w:r>
          </w:p>
        </w:tc>
      </w:tr>
      <w:tr w:rsidR="00AE7DD4" w:rsidRPr="007B6616" w14:paraId="1F97B9A8" w14:textId="77777777" w:rsidTr="007B6616">
        <w:tc>
          <w:tcPr>
            <w:tcW w:w="2830" w:type="dxa"/>
          </w:tcPr>
          <w:p w14:paraId="1C60DF70"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Emergency Planning</w:t>
            </w:r>
          </w:p>
          <w:p w14:paraId="074FCCFB" w14:textId="77777777" w:rsidR="00AE7DD4" w:rsidRPr="007B6616" w:rsidRDefault="00AE7DD4" w:rsidP="00C54C0E">
            <w:pPr>
              <w:pStyle w:val="ListParagraph"/>
              <w:ind w:left="0"/>
              <w:rPr>
                <w:rFonts w:ascii="Segoe UI" w:hAnsi="Segoe UI" w:cs="Segoe UI"/>
                <w:sz w:val="24"/>
                <w:szCs w:val="24"/>
                <w:lang w:val="en-US"/>
              </w:rPr>
            </w:pPr>
          </w:p>
          <w:p w14:paraId="4DA1F74F" w14:textId="77777777" w:rsidR="00AE7DD4" w:rsidRPr="007B6616" w:rsidRDefault="00AE7DD4" w:rsidP="00C54C0E">
            <w:pPr>
              <w:pStyle w:val="ListParagraph"/>
              <w:ind w:left="0"/>
              <w:rPr>
                <w:rFonts w:ascii="Segoe UI" w:hAnsi="Segoe UI" w:cs="Segoe UI"/>
                <w:sz w:val="24"/>
                <w:szCs w:val="24"/>
                <w:lang w:val="en-US"/>
              </w:rPr>
            </w:pPr>
          </w:p>
          <w:p w14:paraId="706B8006" w14:textId="77777777" w:rsidR="00AE7DD4" w:rsidRPr="007B6616" w:rsidRDefault="00AE7DD4" w:rsidP="00C54C0E">
            <w:pPr>
              <w:pStyle w:val="ListParagraph"/>
              <w:ind w:left="0"/>
              <w:rPr>
                <w:rFonts w:ascii="Segoe UI" w:hAnsi="Segoe UI" w:cs="Segoe UI"/>
                <w:sz w:val="24"/>
                <w:szCs w:val="24"/>
                <w:lang w:val="en-US"/>
              </w:rPr>
            </w:pPr>
          </w:p>
          <w:p w14:paraId="1DE0B5A2" w14:textId="77777777" w:rsidR="00AE7DD4" w:rsidRPr="007B6616" w:rsidRDefault="00AE7DD4" w:rsidP="00C54C0E">
            <w:pPr>
              <w:pStyle w:val="ListParagraph"/>
              <w:ind w:left="0"/>
              <w:rPr>
                <w:rFonts w:ascii="Segoe UI" w:hAnsi="Segoe UI" w:cs="Segoe UI"/>
                <w:sz w:val="24"/>
                <w:szCs w:val="24"/>
                <w:lang w:val="en-US"/>
              </w:rPr>
            </w:pPr>
          </w:p>
          <w:p w14:paraId="5A827962" w14:textId="77777777" w:rsidR="00AE7DD4" w:rsidRPr="007B6616" w:rsidRDefault="00AE7DD4" w:rsidP="00C54C0E">
            <w:pPr>
              <w:pStyle w:val="ListParagraph"/>
              <w:ind w:left="0"/>
              <w:rPr>
                <w:rFonts w:ascii="Segoe UI" w:hAnsi="Segoe UI" w:cs="Segoe UI"/>
                <w:sz w:val="24"/>
                <w:szCs w:val="24"/>
                <w:lang w:val="en-US"/>
              </w:rPr>
            </w:pPr>
          </w:p>
          <w:p w14:paraId="39E930CB" w14:textId="77777777" w:rsidR="00AE7DD4" w:rsidRPr="007B6616" w:rsidRDefault="00AE7DD4" w:rsidP="00C54C0E">
            <w:pPr>
              <w:pStyle w:val="ListParagraph"/>
              <w:ind w:left="0"/>
              <w:rPr>
                <w:rFonts w:ascii="Segoe UI" w:hAnsi="Segoe UI" w:cs="Segoe UI"/>
                <w:sz w:val="24"/>
                <w:szCs w:val="24"/>
                <w:lang w:val="en-US"/>
              </w:rPr>
            </w:pPr>
          </w:p>
          <w:p w14:paraId="57BCA05C" w14:textId="77777777" w:rsidR="00AE7DD4" w:rsidRPr="007B6616" w:rsidRDefault="00AE7DD4" w:rsidP="00C54C0E">
            <w:pPr>
              <w:pStyle w:val="ListParagraph"/>
              <w:ind w:left="0"/>
              <w:rPr>
                <w:rFonts w:ascii="Segoe UI" w:hAnsi="Segoe UI" w:cs="Segoe UI"/>
                <w:sz w:val="24"/>
                <w:szCs w:val="24"/>
                <w:lang w:val="en-US"/>
              </w:rPr>
            </w:pPr>
          </w:p>
          <w:p w14:paraId="6F37FB9A" w14:textId="77777777" w:rsidR="00AE7DD4" w:rsidRPr="007B6616" w:rsidRDefault="00AE7DD4" w:rsidP="00C54C0E">
            <w:pPr>
              <w:pStyle w:val="ListParagraph"/>
              <w:ind w:left="0"/>
              <w:rPr>
                <w:rFonts w:ascii="Segoe UI" w:hAnsi="Segoe UI" w:cs="Segoe UI"/>
                <w:sz w:val="24"/>
                <w:szCs w:val="24"/>
                <w:lang w:val="en-US"/>
              </w:rPr>
            </w:pPr>
          </w:p>
          <w:p w14:paraId="3BCDF88E" w14:textId="77777777" w:rsidR="00AE7DD4" w:rsidRPr="007B6616" w:rsidRDefault="00AE7DD4" w:rsidP="00C54C0E">
            <w:pPr>
              <w:pStyle w:val="ListParagraph"/>
              <w:ind w:left="0"/>
              <w:rPr>
                <w:rFonts w:ascii="Segoe UI" w:hAnsi="Segoe UI" w:cs="Segoe UI"/>
                <w:sz w:val="24"/>
                <w:szCs w:val="24"/>
                <w:lang w:val="en-US"/>
              </w:rPr>
            </w:pPr>
          </w:p>
          <w:p w14:paraId="14BFF632" w14:textId="77777777" w:rsidR="00AE7DD4" w:rsidRPr="007B6616" w:rsidRDefault="00AE7DD4" w:rsidP="00C54C0E">
            <w:pPr>
              <w:pStyle w:val="ListParagraph"/>
              <w:ind w:left="0"/>
              <w:rPr>
                <w:rFonts w:ascii="Segoe UI" w:hAnsi="Segoe UI" w:cs="Segoe UI"/>
                <w:sz w:val="24"/>
                <w:szCs w:val="24"/>
                <w:lang w:val="en-US"/>
              </w:rPr>
            </w:pPr>
          </w:p>
          <w:p w14:paraId="7DBE3C41" w14:textId="77777777" w:rsidR="00AE7DD4" w:rsidRPr="007B6616" w:rsidRDefault="00AE7DD4" w:rsidP="00C54C0E">
            <w:pPr>
              <w:pStyle w:val="ListParagraph"/>
              <w:ind w:left="0"/>
              <w:rPr>
                <w:rFonts w:ascii="Segoe UI" w:hAnsi="Segoe UI" w:cs="Segoe UI"/>
                <w:sz w:val="24"/>
                <w:szCs w:val="24"/>
                <w:lang w:val="en-US"/>
              </w:rPr>
            </w:pPr>
          </w:p>
          <w:p w14:paraId="44FA73AB" w14:textId="77777777" w:rsidR="00AE7DD4" w:rsidRPr="007B6616" w:rsidRDefault="00AE7DD4" w:rsidP="00C54C0E">
            <w:pPr>
              <w:pStyle w:val="ListParagraph"/>
              <w:ind w:left="0"/>
              <w:rPr>
                <w:rFonts w:ascii="Segoe UI" w:hAnsi="Segoe UI" w:cs="Segoe UI"/>
                <w:sz w:val="24"/>
                <w:szCs w:val="24"/>
                <w:lang w:val="en-US"/>
              </w:rPr>
            </w:pPr>
          </w:p>
          <w:p w14:paraId="09C41985" w14:textId="77777777" w:rsidR="00AE7DD4" w:rsidRPr="007B6616" w:rsidRDefault="00AE7DD4" w:rsidP="00C54C0E">
            <w:pPr>
              <w:pStyle w:val="ListParagraph"/>
              <w:ind w:left="0"/>
              <w:rPr>
                <w:rFonts w:ascii="Segoe UI" w:hAnsi="Segoe UI" w:cs="Segoe UI"/>
                <w:sz w:val="24"/>
                <w:szCs w:val="24"/>
                <w:lang w:val="en-US"/>
              </w:rPr>
            </w:pPr>
          </w:p>
          <w:p w14:paraId="648F4FFB" w14:textId="77777777" w:rsidR="00AE7DD4" w:rsidRPr="007B6616" w:rsidRDefault="00AE7DD4" w:rsidP="00C54C0E">
            <w:pPr>
              <w:pStyle w:val="ListParagraph"/>
              <w:ind w:left="0"/>
              <w:rPr>
                <w:rFonts w:ascii="Segoe UI" w:hAnsi="Segoe UI" w:cs="Segoe UI"/>
                <w:sz w:val="24"/>
                <w:szCs w:val="24"/>
                <w:lang w:val="en-US"/>
              </w:rPr>
            </w:pPr>
          </w:p>
          <w:p w14:paraId="2D499554" w14:textId="77777777" w:rsidR="00AE7DD4" w:rsidRPr="007B6616" w:rsidRDefault="00AE7DD4" w:rsidP="00C54C0E">
            <w:pPr>
              <w:pStyle w:val="ListParagraph"/>
              <w:ind w:left="0"/>
              <w:rPr>
                <w:rFonts w:ascii="Segoe UI" w:hAnsi="Segoe UI" w:cs="Segoe UI"/>
                <w:sz w:val="24"/>
                <w:szCs w:val="24"/>
                <w:lang w:val="en-US"/>
              </w:rPr>
            </w:pPr>
          </w:p>
          <w:p w14:paraId="424FB4D0" w14:textId="77777777" w:rsidR="00AE7DD4" w:rsidRPr="007B6616" w:rsidRDefault="00AE7DD4" w:rsidP="00C54C0E">
            <w:pPr>
              <w:pStyle w:val="ListParagraph"/>
              <w:ind w:left="0"/>
              <w:rPr>
                <w:rFonts w:ascii="Segoe UI" w:hAnsi="Segoe UI" w:cs="Segoe UI"/>
                <w:sz w:val="24"/>
                <w:szCs w:val="24"/>
                <w:lang w:val="en-US"/>
              </w:rPr>
            </w:pPr>
          </w:p>
          <w:p w14:paraId="39BD4A28" w14:textId="77777777" w:rsidR="00AE7DD4" w:rsidRPr="007B6616" w:rsidRDefault="00AE7DD4" w:rsidP="00C54C0E">
            <w:pPr>
              <w:pStyle w:val="ListParagraph"/>
              <w:ind w:left="0"/>
              <w:rPr>
                <w:rFonts w:ascii="Segoe UI" w:hAnsi="Segoe UI" w:cs="Segoe UI"/>
                <w:sz w:val="24"/>
                <w:szCs w:val="24"/>
                <w:lang w:val="en-US"/>
              </w:rPr>
            </w:pPr>
          </w:p>
          <w:p w14:paraId="07086E6A" w14:textId="77777777" w:rsidR="00AE7DD4" w:rsidRPr="007B6616" w:rsidRDefault="00AE7DD4" w:rsidP="00C54C0E">
            <w:pPr>
              <w:pStyle w:val="ListParagraph"/>
              <w:ind w:left="0"/>
              <w:rPr>
                <w:rFonts w:ascii="Segoe UI" w:hAnsi="Segoe UI" w:cs="Segoe UI"/>
                <w:sz w:val="24"/>
                <w:szCs w:val="24"/>
                <w:lang w:val="en-US"/>
              </w:rPr>
            </w:pPr>
          </w:p>
          <w:p w14:paraId="0267A128" w14:textId="77777777" w:rsidR="00AE7DD4" w:rsidRPr="007B6616" w:rsidRDefault="00AE7DD4" w:rsidP="00C54C0E">
            <w:pPr>
              <w:pStyle w:val="ListParagraph"/>
              <w:ind w:left="0"/>
              <w:rPr>
                <w:rFonts w:ascii="Segoe UI" w:hAnsi="Segoe UI" w:cs="Segoe UI"/>
                <w:sz w:val="24"/>
                <w:szCs w:val="24"/>
                <w:lang w:val="en-US"/>
              </w:rPr>
            </w:pPr>
          </w:p>
          <w:p w14:paraId="39F18340" w14:textId="77777777" w:rsidR="00AE7DD4" w:rsidRPr="007B6616" w:rsidRDefault="00AE7DD4" w:rsidP="00C54C0E">
            <w:pPr>
              <w:pStyle w:val="ListParagraph"/>
              <w:ind w:left="0"/>
              <w:rPr>
                <w:rFonts w:ascii="Segoe UI" w:hAnsi="Segoe UI" w:cs="Segoe UI"/>
                <w:sz w:val="24"/>
                <w:szCs w:val="24"/>
                <w:lang w:val="en-US"/>
              </w:rPr>
            </w:pPr>
          </w:p>
          <w:p w14:paraId="77275318"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Emergency Response</w:t>
            </w:r>
          </w:p>
          <w:p w14:paraId="68BB003E" w14:textId="77777777" w:rsidR="00AE7DD4" w:rsidRPr="007B6616" w:rsidRDefault="00AE7DD4" w:rsidP="00C54C0E">
            <w:pPr>
              <w:pStyle w:val="ListParagraph"/>
              <w:ind w:left="0"/>
              <w:rPr>
                <w:rFonts w:ascii="Segoe UI" w:hAnsi="Segoe UI" w:cs="Segoe UI"/>
                <w:sz w:val="24"/>
                <w:szCs w:val="24"/>
                <w:lang w:val="en-US"/>
              </w:rPr>
            </w:pPr>
          </w:p>
          <w:p w14:paraId="0816D584" w14:textId="77777777" w:rsidR="00AE7DD4" w:rsidRPr="007B6616" w:rsidRDefault="00AE7DD4" w:rsidP="00C54C0E">
            <w:pPr>
              <w:pStyle w:val="ListParagraph"/>
              <w:ind w:left="0"/>
              <w:rPr>
                <w:rFonts w:ascii="Segoe UI" w:hAnsi="Segoe UI" w:cs="Segoe UI"/>
                <w:sz w:val="24"/>
                <w:szCs w:val="24"/>
                <w:lang w:val="en-US"/>
              </w:rPr>
            </w:pPr>
          </w:p>
          <w:p w14:paraId="6AF7FB7F" w14:textId="77777777" w:rsidR="00AE7DD4" w:rsidRPr="007B6616" w:rsidRDefault="00AE7DD4" w:rsidP="00C54C0E">
            <w:pPr>
              <w:pStyle w:val="ListParagraph"/>
              <w:ind w:left="0"/>
              <w:rPr>
                <w:rFonts w:ascii="Segoe UI" w:hAnsi="Segoe UI" w:cs="Segoe UI"/>
                <w:sz w:val="24"/>
                <w:szCs w:val="24"/>
                <w:lang w:val="en-US"/>
              </w:rPr>
            </w:pPr>
          </w:p>
          <w:p w14:paraId="0CB658F1" w14:textId="77777777" w:rsidR="00AE7DD4" w:rsidRPr="007B6616" w:rsidRDefault="00AE7DD4" w:rsidP="00C54C0E">
            <w:pPr>
              <w:pStyle w:val="ListParagraph"/>
              <w:ind w:left="0"/>
              <w:rPr>
                <w:rFonts w:ascii="Segoe UI" w:hAnsi="Segoe UI" w:cs="Segoe UI"/>
                <w:sz w:val="24"/>
                <w:szCs w:val="24"/>
                <w:lang w:val="en-US"/>
              </w:rPr>
            </w:pPr>
          </w:p>
          <w:p w14:paraId="7EC76E22" w14:textId="77777777" w:rsidR="00AE7DD4" w:rsidRPr="007B6616" w:rsidRDefault="00AE7DD4" w:rsidP="00C54C0E">
            <w:pPr>
              <w:pStyle w:val="ListParagraph"/>
              <w:ind w:left="0"/>
              <w:rPr>
                <w:rFonts w:ascii="Segoe UI" w:hAnsi="Segoe UI" w:cs="Segoe UI"/>
                <w:sz w:val="24"/>
                <w:szCs w:val="24"/>
                <w:lang w:val="en-US"/>
              </w:rPr>
            </w:pPr>
          </w:p>
          <w:p w14:paraId="7610B1C9" w14:textId="77777777" w:rsidR="00AE7DD4" w:rsidRPr="007B6616" w:rsidRDefault="00AE7DD4" w:rsidP="00C54C0E">
            <w:pPr>
              <w:pStyle w:val="ListParagraph"/>
              <w:ind w:left="0"/>
              <w:rPr>
                <w:rFonts w:ascii="Segoe UI" w:hAnsi="Segoe UI" w:cs="Segoe UI"/>
                <w:sz w:val="24"/>
                <w:szCs w:val="24"/>
                <w:lang w:val="en-US"/>
              </w:rPr>
            </w:pPr>
          </w:p>
          <w:p w14:paraId="733BCE62" w14:textId="77777777" w:rsidR="00AE7DD4" w:rsidRPr="007B6616" w:rsidRDefault="00AE7DD4" w:rsidP="00C54C0E">
            <w:pPr>
              <w:pStyle w:val="ListParagraph"/>
              <w:ind w:left="0"/>
              <w:rPr>
                <w:rFonts w:ascii="Segoe UI" w:hAnsi="Segoe UI" w:cs="Segoe UI"/>
                <w:sz w:val="24"/>
                <w:szCs w:val="24"/>
                <w:lang w:val="en-US"/>
              </w:rPr>
            </w:pPr>
          </w:p>
          <w:p w14:paraId="606AA22C" w14:textId="77777777" w:rsidR="00AE7DD4" w:rsidRPr="007B6616" w:rsidRDefault="00AE7DD4" w:rsidP="00C54C0E">
            <w:pPr>
              <w:pStyle w:val="ListParagraph"/>
              <w:ind w:left="0"/>
              <w:rPr>
                <w:rFonts w:ascii="Segoe UI" w:hAnsi="Segoe UI" w:cs="Segoe UI"/>
                <w:sz w:val="24"/>
                <w:szCs w:val="24"/>
                <w:lang w:val="en-US"/>
              </w:rPr>
            </w:pPr>
          </w:p>
          <w:p w14:paraId="20B73F6B" w14:textId="77777777" w:rsidR="00AE7DD4" w:rsidRPr="007B6616" w:rsidRDefault="00AE7DD4" w:rsidP="00C54C0E">
            <w:pPr>
              <w:pStyle w:val="ListParagraph"/>
              <w:ind w:left="0"/>
              <w:rPr>
                <w:rFonts w:ascii="Segoe UI" w:hAnsi="Segoe UI" w:cs="Segoe UI"/>
                <w:sz w:val="24"/>
                <w:szCs w:val="24"/>
                <w:lang w:val="en-US"/>
              </w:rPr>
            </w:pPr>
          </w:p>
          <w:p w14:paraId="374DF788" w14:textId="77777777" w:rsidR="00AE7DD4" w:rsidRPr="007B6616" w:rsidRDefault="00AE7DD4" w:rsidP="00C54C0E">
            <w:pPr>
              <w:pStyle w:val="ListParagraph"/>
              <w:ind w:left="0"/>
              <w:rPr>
                <w:rFonts w:ascii="Segoe UI" w:hAnsi="Segoe UI" w:cs="Segoe UI"/>
                <w:sz w:val="24"/>
                <w:szCs w:val="24"/>
                <w:lang w:val="en-US"/>
              </w:rPr>
            </w:pPr>
          </w:p>
          <w:p w14:paraId="2AD5910B" w14:textId="77777777" w:rsidR="00AE7DD4" w:rsidRPr="007B6616" w:rsidRDefault="00AE7DD4" w:rsidP="00C54C0E">
            <w:pPr>
              <w:pStyle w:val="ListParagraph"/>
              <w:ind w:left="0"/>
              <w:rPr>
                <w:rFonts w:ascii="Segoe UI" w:hAnsi="Segoe UI" w:cs="Segoe UI"/>
                <w:sz w:val="24"/>
                <w:szCs w:val="24"/>
                <w:lang w:val="en-US"/>
              </w:rPr>
            </w:pPr>
          </w:p>
          <w:p w14:paraId="0DD6DB2A" w14:textId="77777777" w:rsidR="00AE7DD4" w:rsidRPr="007B6616" w:rsidRDefault="00AE7DD4" w:rsidP="00C54C0E">
            <w:pPr>
              <w:pStyle w:val="ListParagraph"/>
              <w:ind w:left="0"/>
              <w:rPr>
                <w:rFonts w:ascii="Segoe UI" w:hAnsi="Segoe UI" w:cs="Segoe UI"/>
                <w:sz w:val="24"/>
                <w:szCs w:val="24"/>
                <w:lang w:val="en-US"/>
              </w:rPr>
            </w:pPr>
          </w:p>
          <w:p w14:paraId="28B08E1A" w14:textId="77777777" w:rsidR="00AE7DD4" w:rsidRPr="007B6616" w:rsidRDefault="00AE7DD4" w:rsidP="00C54C0E">
            <w:pPr>
              <w:pStyle w:val="ListParagraph"/>
              <w:ind w:left="0"/>
              <w:rPr>
                <w:rFonts w:ascii="Segoe UI" w:hAnsi="Segoe UI" w:cs="Segoe UI"/>
                <w:sz w:val="24"/>
                <w:szCs w:val="24"/>
                <w:lang w:val="en-US"/>
              </w:rPr>
            </w:pPr>
          </w:p>
          <w:p w14:paraId="2A3BE059" w14:textId="77777777" w:rsidR="00AE7DD4" w:rsidRPr="007B6616" w:rsidRDefault="00AE7DD4" w:rsidP="00C54C0E">
            <w:pPr>
              <w:pStyle w:val="ListParagraph"/>
              <w:ind w:left="0"/>
              <w:rPr>
                <w:rFonts w:ascii="Segoe UI" w:hAnsi="Segoe UI" w:cs="Segoe UI"/>
                <w:sz w:val="24"/>
                <w:szCs w:val="24"/>
                <w:lang w:val="en-US"/>
              </w:rPr>
            </w:pPr>
          </w:p>
          <w:p w14:paraId="51F1D27C" w14:textId="77777777" w:rsidR="00AE7DD4" w:rsidRPr="007B6616" w:rsidRDefault="00AE7DD4" w:rsidP="00C54C0E">
            <w:pPr>
              <w:pStyle w:val="ListParagraph"/>
              <w:ind w:left="0"/>
              <w:rPr>
                <w:rFonts w:ascii="Segoe UI" w:hAnsi="Segoe UI" w:cs="Segoe UI"/>
                <w:sz w:val="24"/>
                <w:szCs w:val="24"/>
                <w:lang w:val="en-US"/>
              </w:rPr>
            </w:pPr>
          </w:p>
          <w:p w14:paraId="5E59956A" w14:textId="55F47E09"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Public Information</w:t>
            </w:r>
          </w:p>
        </w:tc>
        <w:tc>
          <w:tcPr>
            <w:tcW w:w="6520" w:type="dxa"/>
          </w:tcPr>
          <w:p w14:paraId="7CA47DD2" w14:textId="77777777" w:rsidR="00AE7DD4" w:rsidRPr="007B6616" w:rsidRDefault="00AE7DD4" w:rsidP="00856D3F">
            <w:pPr>
              <w:pStyle w:val="ListParagraph"/>
              <w:numPr>
                <w:ilvl w:val="0"/>
                <w:numId w:val="15"/>
              </w:numPr>
              <w:rPr>
                <w:rFonts w:ascii="Segoe UI" w:hAnsi="Segoe UI" w:cs="Segoe UI"/>
                <w:color w:val="000000"/>
                <w:sz w:val="24"/>
                <w:szCs w:val="24"/>
              </w:rPr>
            </w:pPr>
            <w:r w:rsidRPr="007B6616">
              <w:rPr>
                <w:rFonts w:ascii="Segoe UI" w:hAnsi="Segoe UI" w:cs="Segoe UI"/>
                <w:color w:val="000000"/>
                <w:sz w:val="24"/>
                <w:szCs w:val="24"/>
              </w:rPr>
              <w:t>OPG must ensure that it controls the use and occupation of land within 20 km of the site to maintain safety margins for the fifth level of defence in depth by preventing the intensification and development of residential dwellings to comply with the establishment of a 20 km Contingency Zone in accordance with PNERP.</w:t>
            </w:r>
          </w:p>
          <w:p w14:paraId="159DB2C0" w14:textId="77777777" w:rsidR="00AE7DD4" w:rsidRPr="007B6616" w:rsidRDefault="00AE7DD4" w:rsidP="00856D3F">
            <w:pPr>
              <w:pStyle w:val="ListParagraph"/>
              <w:numPr>
                <w:ilvl w:val="0"/>
                <w:numId w:val="15"/>
              </w:numPr>
              <w:rPr>
                <w:rFonts w:ascii="Segoe UI" w:hAnsi="Segoe UI" w:cs="Segoe UI"/>
                <w:color w:val="000000"/>
                <w:sz w:val="24"/>
                <w:szCs w:val="24"/>
              </w:rPr>
            </w:pPr>
            <w:r w:rsidRPr="007B6616">
              <w:rPr>
                <w:rFonts w:ascii="Segoe UI" w:hAnsi="Segoe UI" w:cs="Segoe UI"/>
                <w:color w:val="000000"/>
                <w:sz w:val="24"/>
                <w:szCs w:val="24"/>
              </w:rPr>
              <w:t>OPG must provide more information on how emergency planning for BWRX-300 deployment will encompass a larger range of the population in the event of a severe nuclear incident.</w:t>
            </w:r>
          </w:p>
          <w:p w14:paraId="166C8A18" w14:textId="77777777" w:rsidR="00AE7DD4" w:rsidRPr="007B6616" w:rsidRDefault="00AE7DD4" w:rsidP="00856D3F">
            <w:pPr>
              <w:pStyle w:val="ListParagraph"/>
              <w:numPr>
                <w:ilvl w:val="0"/>
                <w:numId w:val="15"/>
              </w:numPr>
              <w:rPr>
                <w:rFonts w:ascii="Segoe UI" w:hAnsi="Segoe UI" w:cs="Segoe UI"/>
                <w:b/>
                <w:bCs/>
                <w:sz w:val="24"/>
                <w:szCs w:val="24"/>
              </w:rPr>
            </w:pPr>
            <w:r w:rsidRPr="007B6616">
              <w:rPr>
                <w:rFonts w:ascii="Segoe UI" w:hAnsi="Segoe UI" w:cs="Segoe UI"/>
                <w:color w:val="000000"/>
                <w:sz w:val="24"/>
                <w:szCs w:val="24"/>
              </w:rPr>
              <w:t>The CNSC and OPG must ensure that emergency planning authorities are sufficiently prepared for a severe nuclear accident.</w:t>
            </w:r>
          </w:p>
          <w:p w14:paraId="425B2C26" w14:textId="77777777" w:rsidR="00AE7DD4" w:rsidRPr="007B6616" w:rsidRDefault="00AE7DD4" w:rsidP="00856D3F">
            <w:pPr>
              <w:pStyle w:val="ListParagraph"/>
              <w:numPr>
                <w:ilvl w:val="0"/>
                <w:numId w:val="15"/>
              </w:numPr>
              <w:rPr>
                <w:rFonts w:ascii="Segoe UI" w:hAnsi="Segoe UI" w:cs="Segoe UI"/>
                <w:b/>
                <w:bCs/>
                <w:sz w:val="24"/>
                <w:szCs w:val="24"/>
              </w:rPr>
            </w:pPr>
            <w:r w:rsidRPr="007B6616">
              <w:rPr>
                <w:rFonts w:ascii="Segoe UI" w:hAnsi="Segoe UI" w:cs="Segoe UI"/>
                <w:color w:val="000000"/>
                <w:sz w:val="24"/>
                <w:szCs w:val="24"/>
              </w:rPr>
              <w:t>As the PNERP Technical Study has been released by the province of Ontario to the CNSC, we request licensing documents be revised to directly respond to its findings.</w:t>
            </w:r>
          </w:p>
          <w:p w14:paraId="6286AA56" w14:textId="77777777" w:rsidR="00AE7DD4" w:rsidRPr="007B6616" w:rsidRDefault="00AE7DD4" w:rsidP="00856D3F">
            <w:pPr>
              <w:pStyle w:val="ListParagraph"/>
              <w:numPr>
                <w:ilvl w:val="0"/>
                <w:numId w:val="15"/>
              </w:numPr>
              <w:rPr>
                <w:rFonts w:ascii="Segoe UI" w:hAnsi="Segoe UI" w:cs="Segoe UI"/>
                <w:b/>
                <w:bCs/>
                <w:sz w:val="24"/>
                <w:szCs w:val="24"/>
              </w:rPr>
            </w:pPr>
            <w:r w:rsidRPr="007B6616">
              <w:rPr>
                <w:rFonts w:ascii="Segoe UI" w:hAnsi="Segoe UI" w:cs="Segoe UI"/>
                <w:color w:val="000000"/>
                <w:sz w:val="24"/>
                <w:szCs w:val="24"/>
              </w:rPr>
              <w:t>Because the CNSC has been given permission by the OFMEM to share the PNERP Technical Study with anyone who requests it, the CNSC should make this report publicly available on the CNSC website.</w:t>
            </w:r>
          </w:p>
          <w:p w14:paraId="2FB1DB95" w14:textId="77777777" w:rsidR="00AE7DD4" w:rsidRPr="007B6616" w:rsidRDefault="00AE7DD4" w:rsidP="00856D3F">
            <w:pPr>
              <w:pStyle w:val="ListParagraph"/>
              <w:numPr>
                <w:ilvl w:val="0"/>
                <w:numId w:val="15"/>
              </w:numPr>
              <w:rPr>
                <w:rFonts w:ascii="Segoe UI" w:hAnsi="Segoe UI" w:cs="Segoe UI"/>
                <w:b/>
                <w:bCs/>
                <w:sz w:val="24"/>
                <w:szCs w:val="24"/>
              </w:rPr>
            </w:pPr>
            <w:r w:rsidRPr="007B6616">
              <w:rPr>
                <w:rFonts w:ascii="Segoe UI" w:hAnsi="Segoe UI" w:cs="Segoe UI"/>
                <w:color w:val="000000"/>
                <w:sz w:val="24"/>
                <w:szCs w:val="24"/>
              </w:rPr>
              <w:t>Before a determination can be made as to whether the BWRX-300 reactor fits within the parameters of the EIS and PPE, the updated Darlington Site Evacuation Time Estimate and emergency planning models based on the 2021 Census data must be made available.</w:t>
            </w:r>
          </w:p>
          <w:p w14:paraId="046E2657" w14:textId="77777777" w:rsidR="00AE7DD4" w:rsidRPr="007B6616" w:rsidRDefault="00AE7DD4" w:rsidP="00856D3F">
            <w:pPr>
              <w:pStyle w:val="ListParagraph"/>
              <w:numPr>
                <w:ilvl w:val="0"/>
                <w:numId w:val="15"/>
              </w:numPr>
              <w:rPr>
                <w:rFonts w:ascii="Segoe UI" w:hAnsi="Segoe UI" w:cs="Segoe UI"/>
                <w:b/>
                <w:bCs/>
                <w:sz w:val="24"/>
                <w:szCs w:val="24"/>
              </w:rPr>
            </w:pPr>
            <w:r w:rsidRPr="007B6616">
              <w:rPr>
                <w:rFonts w:ascii="Segoe UI" w:hAnsi="Segoe UI" w:cs="Segoe UI"/>
                <w:color w:val="000000"/>
                <w:sz w:val="24"/>
                <w:szCs w:val="24"/>
              </w:rPr>
              <w:t xml:space="preserve">Emergency preparedness instructions must be assessed </w:t>
            </w:r>
            <w:proofErr w:type="gramStart"/>
            <w:r w:rsidRPr="007B6616">
              <w:rPr>
                <w:rFonts w:ascii="Segoe UI" w:hAnsi="Segoe UI" w:cs="Segoe UI"/>
                <w:color w:val="000000"/>
                <w:sz w:val="24"/>
                <w:szCs w:val="24"/>
              </w:rPr>
              <w:t>in light of</w:t>
            </w:r>
            <w:proofErr w:type="gramEnd"/>
            <w:r w:rsidRPr="007B6616">
              <w:rPr>
                <w:rFonts w:ascii="Segoe UI" w:hAnsi="Segoe UI" w:cs="Segoe UI"/>
                <w:color w:val="000000"/>
                <w:sz w:val="24"/>
                <w:szCs w:val="24"/>
              </w:rPr>
              <w:t xml:space="preserve"> the types of accidents and releases that the BWRX-300 reactor technology may have.</w:t>
            </w:r>
          </w:p>
          <w:p w14:paraId="2B9D4430" w14:textId="77777777" w:rsidR="00AE7DD4" w:rsidRPr="007B6616" w:rsidRDefault="00AE7DD4" w:rsidP="00856D3F">
            <w:pPr>
              <w:pStyle w:val="ListParagraph"/>
              <w:numPr>
                <w:ilvl w:val="0"/>
                <w:numId w:val="15"/>
              </w:numPr>
              <w:rPr>
                <w:rFonts w:ascii="Segoe UI" w:hAnsi="Segoe UI" w:cs="Segoe UI"/>
                <w:b/>
                <w:bCs/>
                <w:sz w:val="24"/>
                <w:szCs w:val="24"/>
              </w:rPr>
            </w:pPr>
            <w:r w:rsidRPr="007B6616">
              <w:rPr>
                <w:rFonts w:ascii="Segoe UI" w:hAnsi="Segoe UI" w:cs="Segoe UI"/>
                <w:color w:val="000000"/>
                <w:sz w:val="24"/>
                <w:szCs w:val="24"/>
              </w:rPr>
              <w:t>The CNSC should review the PNERP Technical Study and as part of the review of the EIS and the PPE within the context of the proposed BWRX-300 reactor technology, demonstrate the sufficiency of contingency planning for the protection of drinking water, such as Lake Ontario, in the event of an emergency.</w:t>
            </w:r>
          </w:p>
          <w:p w14:paraId="2DC5FD6B" w14:textId="1232CACE" w:rsidR="00AE7DD4" w:rsidRPr="007B6616" w:rsidRDefault="00AE7DD4" w:rsidP="00856D3F">
            <w:pPr>
              <w:pStyle w:val="ListParagraph"/>
              <w:numPr>
                <w:ilvl w:val="0"/>
                <w:numId w:val="15"/>
              </w:numPr>
              <w:rPr>
                <w:rFonts w:ascii="Segoe UI" w:hAnsi="Segoe UI" w:cs="Segoe UI"/>
                <w:b/>
                <w:bCs/>
                <w:sz w:val="24"/>
                <w:szCs w:val="24"/>
              </w:rPr>
            </w:pPr>
            <w:r w:rsidRPr="007B6616">
              <w:rPr>
                <w:rFonts w:ascii="Segoe UI" w:hAnsi="Segoe UI" w:cs="Segoe UI"/>
                <w:color w:val="000000"/>
                <w:sz w:val="24"/>
                <w:szCs w:val="24"/>
              </w:rPr>
              <w:t>As a condition of siting new nuclear, the CNSC should require ongoing public education and clear communication about emergency preparedness and protective actions.</w:t>
            </w:r>
          </w:p>
        </w:tc>
      </w:tr>
      <w:tr w:rsidR="000F545D" w:rsidRPr="007B6616" w14:paraId="228D186F" w14:textId="77777777" w:rsidTr="00C150DB">
        <w:tc>
          <w:tcPr>
            <w:tcW w:w="9350" w:type="dxa"/>
            <w:gridSpan w:val="2"/>
            <w:shd w:val="clear" w:color="auto" w:fill="D9D9D9" w:themeFill="background1" w:themeFillShade="D9"/>
          </w:tcPr>
          <w:p w14:paraId="5F74E549" w14:textId="49145B0B" w:rsidR="000F545D" w:rsidRPr="007B6616" w:rsidRDefault="000F545D" w:rsidP="00C54C0E">
            <w:pPr>
              <w:pStyle w:val="ListParagraph"/>
              <w:ind w:left="0"/>
              <w:rPr>
                <w:rFonts w:ascii="Segoe UI" w:hAnsi="Segoe UI" w:cs="Segoe UI"/>
                <w:b/>
                <w:bCs/>
                <w:sz w:val="24"/>
                <w:szCs w:val="24"/>
                <w:lang w:val="en-US"/>
              </w:rPr>
            </w:pPr>
            <w:r w:rsidRPr="007B6616">
              <w:rPr>
                <w:rFonts w:ascii="Segoe UI" w:hAnsi="Segoe UI" w:cs="Segoe UI"/>
                <w:b/>
                <w:bCs/>
                <w:sz w:val="24"/>
                <w:szCs w:val="24"/>
                <w:lang w:val="en-US"/>
              </w:rPr>
              <w:t>Environmental Effects and Risk Assessments</w:t>
            </w:r>
          </w:p>
        </w:tc>
      </w:tr>
      <w:tr w:rsidR="00AE7DD4" w:rsidRPr="007B6616" w14:paraId="53D5F3FA" w14:textId="77777777" w:rsidTr="007B6616">
        <w:tc>
          <w:tcPr>
            <w:tcW w:w="2830" w:type="dxa"/>
          </w:tcPr>
          <w:p w14:paraId="6A4B71C2"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Environmental Assessment</w:t>
            </w:r>
          </w:p>
          <w:p w14:paraId="2EE6A655" w14:textId="77777777" w:rsidR="00AE7DD4" w:rsidRPr="007B6616" w:rsidRDefault="00AE7DD4" w:rsidP="00C54C0E">
            <w:pPr>
              <w:pStyle w:val="ListParagraph"/>
              <w:ind w:left="0"/>
              <w:rPr>
                <w:rFonts w:ascii="Segoe UI" w:hAnsi="Segoe UI" w:cs="Segoe UI"/>
                <w:sz w:val="24"/>
                <w:szCs w:val="24"/>
                <w:lang w:val="en-US"/>
              </w:rPr>
            </w:pPr>
          </w:p>
          <w:p w14:paraId="33A94C2D" w14:textId="77777777" w:rsidR="00AE7DD4" w:rsidRPr="007B6616" w:rsidRDefault="00AE7DD4" w:rsidP="00C54C0E">
            <w:pPr>
              <w:pStyle w:val="ListParagraph"/>
              <w:ind w:left="0"/>
              <w:rPr>
                <w:rFonts w:ascii="Segoe UI" w:hAnsi="Segoe UI" w:cs="Segoe UI"/>
                <w:sz w:val="24"/>
                <w:szCs w:val="24"/>
                <w:lang w:val="en-US"/>
              </w:rPr>
            </w:pPr>
          </w:p>
          <w:p w14:paraId="16DCD460" w14:textId="77777777" w:rsidR="00AE7DD4" w:rsidRPr="007B6616" w:rsidRDefault="00AE7DD4" w:rsidP="00C54C0E">
            <w:pPr>
              <w:pStyle w:val="ListParagraph"/>
              <w:ind w:left="0"/>
              <w:rPr>
                <w:rFonts w:ascii="Segoe UI" w:hAnsi="Segoe UI" w:cs="Segoe UI"/>
                <w:sz w:val="24"/>
                <w:szCs w:val="24"/>
                <w:lang w:val="en-US"/>
              </w:rPr>
            </w:pPr>
          </w:p>
          <w:p w14:paraId="247A2513" w14:textId="77777777" w:rsidR="00AE7DD4" w:rsidRPr="007B6616" w:rsidRDefault="00AE7DD4" w:rsidP="00C54C0E">
            <w:pPr>
              <w:pStyle w:val="ListParagraph"/>
              <w:ind w:left="0"/>
              <w:rPr>
                <w:rFonts w:ascii="Segoe UI" w:hAnsi="Segoe UI" w:cs="Segoe UI"/>
                <w:sz w:val="24"/>
                <w:szCs w:val="24"/>
                <w:lang w:val="en-US"/>
              </w:rPr>
            </w:pPr>
          </w:p>
          <w:p w14:paraId="2B948A68" w14:textId="77777777" w:rsidR="00AE7DD4" w:rsidRPr="007B6616" w:rsidRDefault="00AE7DD4" w:rsidP="00C54C0E">
            <w:pPr>
              <w:pStyle w:val="ListParagraph"/>
              <w:ind w:left="0"/>
              <w:rPr>
                <w:rFonts w:ascii="Segoe UI" w:hAnsi="Segoe UI" w:cs="Segoe UI"/>
                <w:sz w:val="24"/>
                <w:szCs w:val="24"/>
                <w:lang w:val="en-US"/>
              </w:rPr>
            </w:pPr>
          </w:p>
          <w:p w14:paraId="021F6D56" w14:textId="77777777" w:rsidR="00AE7DD4" w:rsidRPr="007B6616" w:rsidRDefault="00AE7DD4" w:rsidP="00C54C0E">
            <w:pPr>
              <w:pStyle w:val="ListParagraph"/>
              <w:ind w:left="0"/>
              <w:rPr>
                <w:rFonts w:ascii="Segoe UI" w:hAnsi="Segoe UI" w:cs="Segoe UI"/>
                <w:sz w:val="24"/>
                <w:szCs w:val="24"/>
                <w:lang w:val="en-US"/>
              </w:rPr>
            </w:pPr>
          </w:p>
          <w:p w14:paraId="72CBE145" w14:textId="77777777" w:rsidR="00AE7DD4" w:rsidRPr="007B6616" w:rsidRDefault="00AE7DD4" w:rsidP="00C54C0E">
            <w:pPr>
              <w:pStyle w:val="ListParagraph"/>
              <w:ind w:left="0"/>
              <w:rPr>
                <w:rFonts w:ascii="Segoe UI" w:hAnsi="Segoe UI" w:cs="Segoe UI"/>
                <w:sz w:val="24"/>
                <w:szCs w:val="24"/>
                <w:lang w:val="en-US"/>
              </w:rPr>
            </w:pPr>
          </w:p>
          <w:p w14:paraId="704FE981" w14:textId="77777777" w:rsidR="00AE7DD4" w:rsidRPr="007B6616" w:rsidRDefault="00AE7DD4" w:rsidP="00C54C0E">
            <w:pPr>
              <w:pStyle w:val="ListParagraph"/>
              <w:ind w:left="0"/>
              <w:rPr>
                <w:rFonts w:ascii="Segoe UI" w:hAnsi="Segoe UI" w:cs="Segoe UI"/>
                <w:sz w:val="24"/>
                <w:szCs w:val="24"/>
                <w:lang w:val="en-US"/>
              </w:rPr>
            </w:pPr>
          </w:p>
          <w:p w14:paraId="426F468D" w14:textId="77777777" w:rsidR="00AE7DD4" w:rsidRPr="007B6616" w:rsidRDefault="00AE7DD4" w:rsidP="00C54C0E">
            <w:pPr>
              <w:pStyle w:val="ListParagraph"/>
              <w:ind w:left="0"/>
              <w:rPr>
                <w:rFonts w:ascii="Segoe UI" w:hAnsi="Segoe UI" w:cs="Segoe UI"/>
                <w:sz w:val="24"/>
                <w:szCs w:val="24"/>
                <w:lang w:val="en-US"/>
              </w:rPr>
            </w:pPr>
          </w:p>
          <w:p w14:paraId="047551B1" w14:textId="7E7C79B8"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Site Characterization</w:t>
            </w:r>
          </w:p>
        </w:tc>
        <w:tc>
          <w:tcPr>
            <w:tcW w:w="6520" w:type="dxa"/>
          </w:tcPr>
          <w:p w14:paraId="7E054836" w14:textId="6D585923" w:rsidR="00AE7DD4" w:rsidRPr="007B6616" w:rsidRDefault="00AE7DD4" w:rsidP="00856D3F">
            <w:pPr>
              <w:pStyle w:val="ListParagraph"/>
              <w:numPr>
                <w:ilvl w:val="0"/>
                <w:numId w:val="16"/>
              </w:numPr>
              <w:rPr>
                <w:rFonts w:ascii="Segoe UI" w:hAnsi="Segoe UI" w:cs="Segoe UI"/>
                <w:color w:val="000000"/>
                <w:sz w:val="24"/>
                <w:szCs w:val="24"/>
              </w:rPr>
            </w:pPr>
            <w:r w:rsidRPr="007B6616">
              <w:rPr>
                <w:rFonts w:ascii="Segoe UI" w:hAnsi="Segoe UI" w:cs="Segoe UI"/>
                <w:color w:val="000000"/>
                <w:sz w:val="24"/>
                <w:szCs w:val="24"/>
              </w:rPr>
              <w:t xml:space="preserve">The EIS for the BWRX-300 must provide a sufficiently detailed description of the plant’s design to allow for independent verification of numerical values that are assigned to various parameters such as source terms. It should not be accepted as a </w:t>
            </w:r>
            <w:r w:rsidR="007B6616" w:rsidRPr="007B6616">
              <w:rPr>
                <w:rFonts w:ascii="Segoe UI" w:hAnsi="Segoe UI" w:cs="Segoe UI"/>
                <w:color w:val="000000"/>
                <w:sz w:val="24"/>
                <w:szCs w:val="24"/>
              </w:rPr>
              <w:t>foregone conclusion</w:t>
            </w:r>
            <w:r w:rsidRPr="007B6616">
              <w:rPr>
                <w:rFonts w:ascii="Segoe UI" w:hAnsi="Segoe UI" w:cs="Segoe UI"/>
                <w:color w:val="000000"/>
                <w:sz w:val="24"/>
                <w:szCs w:val="24"/>
              </w:rPr>
              <w:t xml:space="preserve"> that the Darlington site is necessarily suitable as compared with other sites.</w:t>
            </w:r>
          </w:p>
          <w:p w14:paraId="686908C9" w14:textId="77777777" w:rsidR="00AE7DD4" w:rsidRPr="007B6616" w:rsidRDefault="00AE7DD4" w:rsidP="00856D3F">
            <w:pPr>
              <w:pStyle w:val="ListParagraph"/>
              <w:numPr>
                <w:ilvl w:val="0"/>
                <w:numId w:val="16"/>
              </w:numPr>
              <w:rPr>
                <w:rFonts w:ascii="Segoe UI" w:hAnsi="Segoe UI" w:cs="Segoe UI"/>
                <w:color w:val="000000"/>
                <w:sz w:val="24"/>
                <w:szCs w:val="24"/>
              </w:rPr>
            </w:pPr>
            <w:r w:rsidRPr="007B6616">
              <w:rPr>
                <w:rFonts w:ascii="Segoe UI" w:hAnsi="Segoe UI" w:cs="Segoe UI"/>
                <w:color w:val="000000"/>
                <w:sz w:val="24"/>
                <w:szCs w:val="24"/>
              </w:rPr>
              <w:t>Site parameter characteristic data on effect of operations of the existing reactors on operation of the proposed new reactor (and vice versa) was not clearly given.</w:t>
            </w:r>
          </w:p>
          <w:p w14:paraId="23CB9313" w14:textId="2082FE12" w:rsidR="00AE7DD4" w:rsidRPr="007B6616" w:rsidRDefault="00AE7DD4" w:rsidP="00856D3F">
            <w:pPr>
              <w:pStyle w:val="ListParagraph"/>
              <w:numPr>
                <w:ilvl w:val="0"/>
                <w:numId w:val="16"/>
              </w:numPr>
              <w:rPr>
                <w:rFonts w:ascii="Segoe UI" w:hAnsi="Segoe UI" w:cs="Segoe UI"/>
                <w:b/>
                <w:bCs/>
                <w:sz w:val="24"/>
                <w:szCs w:val="24"/>
              </w:rPr>
            </w:pPr>
            <w:r w:rsidRPr="007B6616">
              <w:rPr>
                <w:rFonts w:ascii="Segoe UI" w:hAnsi="Segoe UI" w:cs="Segoe UI"/>
                <w:color w:val="000000"/>
                <w:sz w:val="24"/>
                <w:szCs w:val="24"/>
              </w:rPr>
              <w:t>The data set does not contain any information that would be necessary and be specific to the Darlington site where other operating reactors already exist. This includes data on Derived Emission Limits and actual emission history that would be added to that from new units.</w:t>
            </w:r>
          </w:p>
        </w:tc>
      </w:tr>
      <w:tr w:rsidR="00AE7DD4" w:rsidRPr="007B6616" w14:paraId="1092C2D8" w14:textId="77777777" w:rsidTr="007B6616">
        <w:tc>
          <w:tcPr>
            <w:tcW w:w="2830" w:type="dxa"/>
          </w:tcPr>
          <w:p w14:paraId="5F516BDD"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Climate Change</w:t>
            </w:r>
          </w:p>
          <w:p w14:paraId="1677ED2D" w14:textId="77777777" w:rsidR="00AE7DD4" w:rsidRPr="007B6616" w:rsidRDefault="00AE7DD4" w:rsidP="00C54C0E">
            <w:pPr>
              <w:pStyle w:val="ListParagraph"/>
              <w:ind w:left="0"/>
              <w:rPr>
                <w:rFonts w:ascii="Segoe UI" w:hAnsi="Segoe UI" w:cs="Segoe UI"/>
                <w:sz w:val="24"/>
                <w:szCs w:val="24"/>
                <w:lang w:val="en-US"/>
              </w:rPr>
            </w:pPr>
          </w:p>
          <w:p w14:paraId="597460A9" w14:textId="77777777" w:rsidR="00AE7DD4" w:rsidRPr="007B6616" w:rsidRDefault="00AE7DD4" w:rsidP="00C54C0E">
            <w:pPr>
              <w:pStyle w:val="ListParagraph"/>
              <w:ind w:left="0"/>
              <w:rPr>
                <w:rFonts w:ascii="Segoe UI" w:hAnsi="Segoe UI" w:cs="Segoe UI"/>
                <w:sz w:val="24"/>
                <w:szCs w:val="24"/>
                <w:lang w:val="en-US"/>
              </w:rPr>
            </w:pPr>
          </w:p>
          <w:p w14:paraId="6E201795" w14:textId="77777777" w:rsidR="00AE7DD4" w:rsidRPr="007B6616" w:rsidRDefault="00AE7DD4" w:rsidP="00C54C0E">
            <w:pPr>
              <w:pStyle w:val="ListParagraph"/>
              <w:ind w:left="0"/>
              <w:rPr>
                <w:rFonts w:ascii="Segoe UI" w:hAnsi="Segoe UI" w:cs="Segoe UI"/>
                <w:sz w:val="24"/>
                <w:szCs w:val="24"/>
                <w:lang w:val="en-US"/>
              </w:rPr>
            </w:pPr>
          </w:p>
          <w:p w14:paraId="0307CA7F" w14:textId="77777777" w:rsidR="00AE7DD4" w:rsidRPr="007B6616" w:rsidRDefault="00AE7DD4" w:rsidP="00C54C0E">
            <w:pPr>
              <w:pStyle w:val="ListParagraph"/>
              <w:ind w:left="0"/>
              <w:rPr>
                <w:rFonts w:ascii="Segoe UI" w:hAnsi="Segoe UI" w:cs="Segoe UI"/>
                <w:sz w:val="24"/>
                <w:szCs w:val="24"/>
                <w:lang w:val="en-US"/>
              </w:rPr>
            </w:pPr>
          </w:p>
          <w:p w14:paraId="03567A15" w14:textId="77777777" w:rsidR="00AE7DD4" w:rsidRPr="007B6616" w:rsidRDefault="00AE7DD4" w:rsidP="00C54C0E">
            <w:pPr>
              <w:pStyle w:val="ListParagraph"/>
              <w:ind w:left="0"/>
              <w:rPr>
                <w:rFonts w:ascii="Segoe UI" w:hAnsi="Segoe UI" w:cs="Segoe UI"/>
                <w:sz w:val="24"/>
                <w:szCs w:val="24"/>
                <w:lang w:val="en-US"/>
              </w:rPr>
            </w:pPr>
          </w:p>
          <w:p w14:paraId="5FA8CCAF"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Environmental Assessment</w:t>
            </w:r>
          </w:p>
          <w:p w14:paraId="37D0F2CE" w14:textId="77777777" w:rsidR="00AE7DD4" w:rsidRPr="007B6616" w:rsidRDefault="00AE7DD4" w:rsidP="00C54C0E">
            <w:pPr>
              <w:pStyle w:val="ListParagraph"/>
              <w:ind w:left="0"/>
              <w:rPr>
                <w:rFonts w:ascii="Segoe UI" w:hAnsi="Segoe UI" w:cs="Segoe UI"/>
                <w:sz w:val="24"/>
                <w:szCs w:val="24"/>
                <w:lang w:val="en-US"/>
              </w:rPr>
            </w:pPr>
          </w:p>
          <w:p w14:paraId="1816DACB" w14:textId="77777777" w:rsidR="00AE7DD4" w:rsidRPr="007B6616" w:rsidRDefault="00AE7DD4" w:rsidP="00C54C0E">
            <w:pPr>
              <w:pStyle w:val="ListParagraph"/>
              <w:ind w:left="0"/>
              <w:rPr>
                <w:rFonts w:ascii="Segoe UI" w:hAnsi="Segoe UI" w:cs="Segoe UI"/>
                <w:sz w:val="24"/>
                <w:szCs w:val="24"/>
                <w:lang w:val="en-US"/>
              </w:rPr>
            </w:pPr>
          </w:p>
          <w:p w14:paraId="51DA8B3F" w14:textId="77777777" w:rsidR="00AE7DD4" w:rsidRPr="007B6616" w:rsidRDefault="00AE7DD4" w:rsidP="00C54C0E">
            <w:pPr>
              <w:pStyle w:val="ListParagraph"/>
              <w:ind w:left="0"/>
              <w:rPr>
                <w:rFonts w:ascii="Segoe UI" w:hAnsi="Segoe UI" w:cs="Segoe UI"/>
                <w:sz w:val="24"/>
                <w:szCs w:val="24"/>
                <w:lang w:val="en-US"/>
              </w:rPr>
            </w:pPr>
          </w:p>
          <w:p w14:paraId="133758F6" w14:textId="77777777" w:rsidR="00AE7DD4" w:rsidRPr="007B6616" w:rsidRDefault="00AE7DD4" w:rsidP="00C54C0E">
            <w:pPr>
              <w:pStyle w:val="ListParagraph"/>
              <w:ind w:left="0"/>
              <w:rPr>
                <w:rFonts w:ascii="Segoe UI" w:hAnsi="Segoe UI" w:cs="Segoe UI"/>
                <w:sz w:val="24"/>
                <w:szCs w:val="24"/>
                <w:lang w:val="en-US"/>
              </w:rPr>
            </w:pPr>
          </w:p>
          <w:p w14:paraId="7361E7F9" w14:textId="77777777" w:rsidR="00AE7DD4" w:rsidRPr="007B6616" w:rsidRDefault="00AE7DD4" w:rsidP="00C54C0E">
            <w:pPr>
              <w:pStyle w:val="ListParagraph"/>
              <w:ind w:left="0"/>
              <w:rPr>
                <w:rFonts w:ascii="Segoe UI" w:hAnsi="Segoe UI" w:cs="Segoe UI"/>
                <w:sz w:val="24"/>
                <w:szCs w:val="24"/>
                <w:lang w:val="en-US"/>
              </w:rPr>
            </w:pPr>
          </w:p>
          <w:p w14:paraId="2A2FD151" w14:textId="77777777" w:rsidR="00AE7DD4" w:rsidRPr="007B6616" w:rsidRDefault="00AE7DD4" w:rsidP="00C54C0E">
            <w:pPr>
              <w:pStyle w:val="ListParagraph"/>
              <w:ind w:left="0"/>
              <w:rPr>
                <w:rFonts w:ascii="Segoe UI" w:hAnsi="Segoe UI" w:cs="Segoe UI"/>
                <w:sz w:val="24"/>
                <w:szCs w:val="24"/>
                <w:lang w:val="en-US"/>
              </w:rPr>
            </w:pPr>
          </w:p>
          <w:p w14:paraId="01D0C410" w14:textId="77777777" w:rsidR="00AE7DD4" w:rsidRPr="007B6616" w:rsidRDefault="00AE7DD4" w:rsidP="00C54C0E">
            <w:pPr>
              <w:pStyle w:val="ListParagraph"/>
              <w:ind w:left="0"/>
              <w:rPr>
                <w:rFonts w:ascii="Segoe UI" w:hAnsi="Segoe UI" w:cs="Segoe UI"/>
                <w:sz w:val="24"/>
                <w:szCs w:val="24"/>
                <w:lang w:val="en-US"/>
              </w:rPr>
            </w:pPr>
          </w:p>
          <w:p w14:paraId="78AB2D40" w14:textId="77777777" w:rsidR="00AE7DD4" w:rsidRPr="007B6616" w:rsidRDefault="00AE7DD4" w:rsidP="00C54C0E">
            <w:pPr>
              <w:pStyle w:val="ListParagraph"/>
              <w:ind w:left="0"/>
              <w:rPr>
                <w:rFonts w:ascii="Segoe UI" w:hAnsi="Segoe UI" w:cs="Segoe UI"/>
                <w:sz w:val="24"/>
                <w:szCs w:val="24"/>
                <w:lang w:val="en-US"/>
              </w:rPr>
            </w:pPr>
          </w:p>
          <w:p w14:paraId="7CC43640" w14:textId="77777777" w:rsidR="00AE7DD4" w:rsidRPr="007B6616" w:rsidRDefault="00AE7DD4" w:rsidP="00C54C0E">
            <w:pPr>
              <w:pStyle w:val="ListParagraph"/>
              <w:ind w:left="0"/>
              <w:rPr>
                <w:rFonts w:ascii="Segoe UI" w:hAnsi="Segoe UI" w:cs="Segoe UI"/>
                <w:sz w:val="24"/>
                <w:szCs w:val="24"/>
                <w:lang w:val="en-US"/>
              </w:rPr>
            </w:pPr>
          </w:p>
          <w:p w14:paraId="65597AF6" w14:textId="77777777" w:rsidR="00AE7DD4" w:rsidRPr="007B6616" w:rsidRDefault="00AE7DD4" w:rsidP="00C54C0E">
            <w:pPr>
              <w:pStyle w:val="ListParagraph"/>
              <w:ind w:left="0"/>
              <w:rPr>
                <w:rFonts w:ascii="Segoe UI" w:hAnsi="Segoe UI" w:cs="Segoe UI"/>
                <w:sz w:val="24"/>
                <w:szCs w:val="24"/>
                <w:lang w:val="en-US"/>
              </w:rPr>
            </w:pPr>
          </w:p>
          <w:p w14:paraId="09867B0E" w14:textId="77777777" w:rsidR="00AE7DD4" w:rsidRPr="007B6616" w:rsidRDefault="00AE7DD4" w:rsidP="00C54C0E">
            <w:pPr>
              <w:pStyle w:val="ListParagraph"/>
              <w:ind w:left="0"/>
              <w:rPr>
                <w:rFonts w:ascii="Segoe UI" w:hAnsi="Segoe UI" w:cs="Segoe UI"/>
                <w:sz w:val="24"/>
                <w:szCs w:val="24"/>
                <w:lang w:val="en-US"/>
              </w:rPr>
            </w:pPr>
          </w:p>
          <w:p w14:paraId="288987FF" w14:textId="77777777" w:rsidR="00AE7DD4" w:rsidRPr="007B6616" w:rsidRDefault="00AE7DD4" w:rsidP="00C54C0E">
            <w:pPr>
              <w:pStyle w:val="ListParagraph"/>
              <w:ind w:left="0"/>
              <w:rPr>
                <w:rFonts w:ascii="Segoe UI" w:hAnsi="Segoe UI" w:cs="Segoe UI"/>
                <w:sz w:val="24"/>
                <w:szCs w:val="24"/>
                <w:lang w:val="en-US"/>
              </w:rPr>
            </w:pPr>
          </w:p>
          <w:p w14:paraId="5BA737B9"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Environmental Effects</w:t>
            </w:r>
          </w:p>
          <w:p w14:paraId="7118D8D0" w14:textId="77777777" w:rsidR="00AE7DD4" w:rsidRPr="007B6616" w:rsidRDefault="00AE7DD4" w:rsidP="00C54C0E">
            <w:pPr>
              <w:pStyle w:val="ListParagraph"/>
              <w:ind w:left="0"/>
              <w:rPr>
                <w:rFonts w:ascii="Segoe UI" w:hAnsi="Segoe UI" w:cs="Segoe UI"/>
                <w:sz w:val="24"/>
                <w:szCs w:val="24"/>
                <w:lang w:val="en-US"/>
              </w:rPr>
            </w:pPr>
          </w:p>
          <w:p w14:paraId="545ACA55" w14:textId="77777777" w:rsidR="00AE7DD4" w:rsidRPr="007B6616" w:rsidRDefault="00AE7DD4" w:rsidP="00C54C0E">
            <w:pPr>
              <w:pStyle w:val="ListParagraph"/>
              <w:ind w:left="0"/>
              <w:rPr>
                <w:rFonts w:ascii="Segoe UI" w:hAnsi="Segoe UI" w:cs="Segoe UI"/>
                <w:sz w:val="24"/>
                <w:szCs w:val="24"/>
                <w:lang w:val="en-US"/>
              </w:rPr>
            </w:pPr>
          </w:p>
          <w:p w14:paraId="384D9A94" w14:textId="77777777" w:rsidR="00AE7DD4" w:rsidRPr="007B6616" w:rsidRDefault="00AE7DD4" w:rsidP="00C54C0E">
            <w:pPr>
              <w:pStyle w:val="ListParagraph"/>
              <w:ind w:left="0"/>
              <w:rPr>
                <w:rFonts w:ascii="Segoe UI" w:hAnsi="Segoe UI" w:cs="Segoe UI"/>
                <w:sz w:val="24"/>
                <w:szCs w:val="24"/>
                <w:lang w:val="en-US"/>
              </w:rPr>
            </w:pPr>
          </w:p>
          <w:p w14:paraId="0BF28A3D" w14:textId="77777777" w:rsidR="00AE7DD4" w:rsidRPr="007B6616" w:rsidRDefault="00AE7DD4" w:rsidP="00C54C0E">
            <w:pPr>
              <w:pStyle w:val="ListParagraph"/>
              <w:ind w:left="0"/>
              <w:rPr>
                <w:rFonts w:ascii="Segoe UI" w:hAnsi="Segoe UI" w:cs="Segoe UI"/>
                <w:sz w:val="24"/>
                <w:szCs w:val="24"/>
                <w:lang w:val="en-US"/>
              </w:rPr>
            </w:pPr>
          </w:p>
          <w:p w14:paraId="18C742F3" w14:textId="77777777" w:rsidR="00AE7DD4" w:rsidRPr="007B6616" w:rsidRDefault="00AE7DD4" w:rsidP="00C54C0E">
            <w:pPr>
              <w:pStyle w:val="ListParagraph"/>
              <w:ind w:left="0"/>
              <w:rPr>
                <w:rFonts w:ascii="Segoe UI" w:hAnsi="Segoe UI" w:cs="Segoe UI"/>
                <w:sz w:val="24"/>
                <w:szCs w:val="24"/>
                <w:lang w:val="en-US"/>
              </w:rPr>
            </w:pPr>
          </w:p>
          <w:p w14:paraId="14035E38" w14:textId="77777777" w:rsidR="00AE7DD4" w:rsidRPr="007B6616" w:rsidRDefault="00AE7DD4" w:rsidP="00C54C0E">
            <w:pPr>
              <w:pStyle w:val="ListParagraph"/>
              <w:ind w:left="0"/>
              <w:rPr>
                <w:rFonts w:ascii="Segoe UI" w:hAnsi="Segoe UI" w:cs="Segoe UI"/>
                <w:sz w:val="24"/>
                <w:szCs w:val="24"/>
                <w:lang w:val="en-US"/>
              </w:rPr>
            </w:pPr>
          </w:p>
          <w:p w14:paraId="6B2A51DA" w14:textId="77777777" w:rsidR="00AE7DD4" w:rsidRPr="007B6616" w:rsidRDefault="00AE7DD4" w:rsidP="00C54C0E">
            <w:pPr>
              <w:pStyle w:val="ListParagraph"/>
              <w:ind w:left="0"/>
              <w:rPr>
                <w:rFonts w:ascii="Segoe UI" w:hAnsi="Segoe UI" w:cs="Segoe UI"/>
                <w:sz w:val="24"/>
                <w:szCs w:val="24"/>
                <w:lang w:val="en-US"/>
              </w:rPr>
            </w:pPr>
          </w:p>
          <w:p w14:paraId="7DAEF0AE"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In-Water Works</w:t>
            </w:r>
          </w:p>
          <w:p w14:paraId="2BB09F90" w14:textId="77777777" w:rsidR="00AE7DD4" w:rsidRPr="007B6616" w:rsidRDefault="00AE7DD4" w:rsidP="00C54C0E">
            <w:pPr>
              <w:pStyle w:val="ListParagraph"/>
              <w:ind w:left="0"/>
              <w:rPr>
                <w:rFonts w:ascii="Segoe UI" w:hAnsi="Segoe UI" w:cs="Segoe UI"/>
                <w:sz w:val="24"/>
                <w:szCs w:val="24"/>
                <w:lang w:val="en-US"/>
              </w:rPr>
            </w:pPr>
          </w:p>
          <w:p w14:paraId="6488B2E7" w14:textId="77777777" w:rsidR="00AE7DD4" w:rsidRPr="007B6616" w:rsidRDefault="00AE7DD4" w:rsidP="00C54C0E">
            <w:pPr>
              <w:pStyle w:val="ListParagraph"/>
              <w:ind w:left="0"/>
              <w:rPr>
                <w:rFonts w:ascii="Segoe UI" w:hAnsi="Segoe UI" w:cs="Segoe UI"/>
                <w:sz w:val="24"/>
                <w:szCs w:val="24"/>
                <w:lang w:val="en-US"/>
              </w:rPr>
            </w:pPr>
          </w:p>
          <w:p w14:paraId="3187AD5D" w14:textId="77777777" w:rsidR="00AE7DD4" w:rsidRPr="007B6616" w:rsidRDefault="00AE7DD4" w:rsidP="00C54C0E">
            <w:pPr>
              <w:pStyle w:val="ListParagraph"/>
              <w:ind w:left="0"/>
              <w:rPr>
                <w:rFonts w:ascii="Segoe UI" w:hAnsi="Segoe UI" w:cs="Segoe UI"/>
                <w:sz w:val="24"/>
                <w:szCs w:val="24"/>
                <w:lang w:val="en-US"/>
              </w:rPr>
            </w:pPr>
          </w:p>
          <w:p w14:paraId="0C664349" w14:textId="77777777" w:rsidR="00AE7DD4" w:rsidRPr="007B6616" w:rsidRDefault="00AE7DD4" w:rsidP="00C54C0E">
            <w:pPr>
              <w:pStyle w:val="ListParagraph"/>
              <w:ind w:left="0"/>
              <w:rPr>
                <w:rFonts w:ascii="Segoe UI" w:hAnsi="Segoe UI" w:cs="Segoe UI"/>
                <w:sz w:val="24"/>
                <w:szCs w:val="24"/>
                <w:lang w:val="en-US"/>
              </w:rPr>
            </w:pPr>
          </w:p>
          <w:p w14:paraId="307FFA7F" w14:textId="77777777" w:rsidR="00AE7DD4" w:rsidRPr="007B6616" w:rsidRDefault="00AE7DD4" w:rsidP="00C54C0E">
            <w:pPr>
              <w:pStyle w:val="ListParagraph"/>
              <w:ind w:left="0"/>
              <w:rPr>
                <w:rFonts w:ascii="Segoe UI" w:hAnsi="Segoe UI" w:cs="Segoe UI"/>
                <w:sz w:val="24"/>
                <w:szCs w:val="24"/>
                <w:lang w:val="en-US"/>
              </w:rPr>
            </w:pPr>
          </w:p>
          <w:p w14:paraId="44B66C76" w14:textId="77777777" w:rsidR="00AE7DD4" w:rsidRPr="007B6616" w:rsidRDefault="00AE7DD4" w:rsidP="00C54C0E">
            <w:pPr>
              <w:pStyle w:val="ListParagraph"/>
              <w:ind w:left="0"/>
              <w:rPr>
                <w:rFonts w:ascii="Segoe UI" w:hAnsi="Segoe UI" w:cs="Segoe UI"/>
                <w:sz w:val="24"/>
                <w:szCs w:val="24"/>
                <w:lang w:val="en-US"/>
              </w:rPr>
            </w:pPr>
          </w:p>
          <w:p w14:paraId="51FC12E5"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Mitigation Measures</w:t>
            </w:r>
          </w:p>
          <w:p w14:paraId="62ACBB3B" w14:textId="77777777" w:rsidR="00AE7DD4" w:rsidRPr="007B6616" w:rsidRDefault="00AE7DD4" w:rsidP="00C54C0E">
            <w:pPr>
              <w:pStyle w:val="ListParagraph"/>
              <w:ind w:left="0"/>
              <w:rPr>
                <w:rFonts w:ascii="Segoe UI" w:hAnsi="Segoe UI" w:cs="Segoe UI"/>
                <w:sz w:val="24"/>
                <w:szCs w:val="24"/>
                <w:lang w:val="en-US"/>
              </w:rPr>
            </w:pPr>
          </w:p>
          <w:p w14:paraId="313114FB" w14:textId="77777777" w:rsidR="00AE7DD4" w:rsidRPr="007B6616" w:rsidRDefault="00AE7DD4" w:rsidP="00C54C0E">
            <w:pPr>
              <w:pStyle w:val="ListParagraph"/>
              <w:ind w:left="0"/>
              <w:rPr>
                <w:rFonts w:ascii="Segoe UI" w:hAnsi="Segoe UI" w:cs="Segoe UI"/>
                <w:sz w:val="24"/>
                <w:szCs w:val="24"/>
                <w:lang w:val="en-US"/>
              </w:rPr>
            </w:pPr>
          </w:p>
          <w:p w14:paraId="3D4355ED" w14:textId="77777777" w:rsidR="00AE7DD4" w:rsidRPr="007B6616" w:rsidRDefault="00AE7DD4" w:rsidP="00C54C0E">
            <w:pPr>
              <w:pStyle w:val="ListParagraph"/>
              <w:ind w:left="0"/>
              <w:rPr>
                <w:rFonts w:ascii="Segoe UI" w:hAnsi="Segoe UI" w:cs="Segoe UI"/>
                <w:sz w:val="24"/>
                <w:szCs w:val="24"/>
                <w:lang w:val="en-US"/>
              </w:rPr>
            </w:pPr>
          </w:p>
          <w:p w14:paraId="64B388E9" w14:textId="77777777" w:rsidR="00AE7DD4" w:rsidRPr="007B6616" w:rsidRDefault="00AE7DD4" w:rsidP="00C54C0E">
            <w:pPr>
              <w:pStyle w:val="ListParagraph"/>
              <w:ind w:left="0"/>
              <w:rPr>
                <w:rFonts w:ascii="Segoe UI" w:hAnsi="Segoe UI" w:cs="Segoe UI"/>
                <w:sz w:val="24"/>
                <w:szCs w:val="24"/>
                <w:lang w:val="en-US"/>
              </w:rPr>
            </w:pPr>
          </w:p>
          <w:p w14:paraId="27345F9E" w14:textId="77777777" w:rsidR="00AE7DD4" w:rsidRPr="007B6616" w:rsidRDefault="00AE7DD4" w:rsidP="00C54C0E">
            <w:pPr>
              <w:pStyle w:val="ListParagraph"/>
              <w:ind w:left="0"/>
              <w:rPr>
                <w:rFonts w:ascii="Segoe UI" w:hAnsi="Segoe UI" w:cs="Segoe UI"/>
                <w:sz w:val="24"/>
                <w:szCs w:val="24"/>
                <w:lang w:val="en-US"/>
              </w:rPr>
            </w:pPr>
          </w:p>
          <w:p w14:paraId="33427EE4" w14:textId="77777777" w:rsidR="00AE7DD4" w:rsidRPr="007B6616" w:rsidRDefault="00AE7DD4" w:rsidP="00C54C0E">
            <w:pPr>
              <w:pStyle w:val="ListParagraph"/>
              <w:ind w:left="0"/>
              <w:rPr>
                <w:rFonts w:ascii="Segoe UI" w:hAnsi="Segoe UI" w:cs="Segoe UI"/>
                <w:sz w:val="24"/>
                <w:szCs w:val="24"/>
                <w:lang w:val="en-US"/>
              </w:rPr>
            </w:pPr>
          </w:p>
          <w:p w14:paraId="4AC6798E" w14:textId="77777777" w:rsidR="00AE7DD4" w:rsidRPr="007B6616" w:rsidRDefault="00AE7DD4" w:rsidP="00C54C0E">
            <w:pPr>
              <w:pStyle w:val="ListParagraph"/>
              <w:ind w:left="0"/>
              <w:rPr>
                <w:rFonts w:ascii="Segoe UI" w:hAnsi="Segoe UI" w:cs="Segoe UI"/>
                <w:sz w:val="24"/>
                <w:szCs w:val="24"/>
                <w:lang w:val="en-US"/>
              </w:rPr>
            </w:pPr>
          </w:p>
          <w:p w14:paraId="0D9E4DBC" w14:textId="77777777" w:rsidR="00AE7DD4" w:rsidRPr="007B6616" w:rsidRDefault="00AE7DD4" w:rsidP="00C54C0E">
            <w:pPr>
              <w:pStyle w:val="ListParagraph"/>
              <w:ind w:left="0"/>
              <w:rPr>
                <w:rFonts w:ascii="Segoe UI" w:hAnsi="Segoe UI" w:cs="Segoe UI"/>
                <w:sz w:val="24"/>
                <w:szCs w:val="24"/>
                <w:lang w:val="en-US"/>
              </w:rPr>
            </w:pPr>
          </w:p>
          <w:p w14:paraId="0FC4D8A3" w14:textId="77777777" w:rsidR="00AE7DD4" w:rsidRPr="007B6616" w:rsidRDefault="00AE7DD4" w:rsidP="00C54C0E">
            <w:pPr>
              <w:pStyle w:val="ListParagraph"/>
              <w:ind w:left="0"/>
              <w:rPr>
                <w:rFonts w:ascii="Segoe UI" w:hAnsi="Segoe UI" w:cs="Segoe UI"/>
                <w:sz w:val="24"/>
                <w:szCs w:val="24"/>
                <w:lang w:val="en-US"/>
              </w:rPr>
            </w:pPr>
          </w:p>
          <w:p w14:paraId="56FC54E3" w14:textId="77777777" w:rsidR="00AE7DD4" w:rsidRPr="007B6616" w:rsidRDefault="00AE7DD4" w:rsidP="00C54C0E">
            <w:pPr>
              <w:pStyle w:val="ListParagraph"/>
              <w:ind w:left="0"/>
              <w:rPr>
                <w:rFonts w:ascii="Segoe UI" w:hAnsi="Segoe UI" w:cs="Segoe UI"/>
                <w:sz w:val="24"/>
                <w:szCs w:val="24"/>
                <w:lang w:val="en-US"/>
              </w:rPr>
            </w:pPr>
          </w:p>
          <w:p w14:paraId="329C975A" w14:textId="77777777" w:rsidR="00AE7DD4" w:rsidRPr="007B6616" w:rsidRDefault="00AE7DD4" w:rsidP="00C54C0E">
            <w:pPr>
              <w:pStyle w:val="ListParagraph"/>
              <w:ind w:left="0"/>
              <w:rPr>
                <w:rFonts w:ascii="Segoe UI" w:hAnsi="Segoe UI" w:cs="Segoe UI"/>
                <w:sz w:val="24"/>
                <w:szCs w:val="24"/>
                <w:lang w:val="en-US"/>
              </w:rPr>
            </w:pPr>
          </w:p>
          <w:p w14:paraId="5E965E6C" w14:textId="77777777" w:rsidR="00AE7DD4" w:rsidRPr="007B6616" w:rsidRDefault="00AE7DD4" w:rsidP="00C54C0E">
            <w:pPr>
              <w:pStyle w:val="ListParagraph"/>
              <w:ind w:left="0"/>
              <w:rPr>
                <w:rFonts w:ascii="Segoe UI" w:hAnsi="Segoe UI" w:cs="Segoe UI"/>
                <w:sz w:val="24"/>
                <w:szCs w:val="24"/>
                <w:lang w:val="en-US"/>
              </w:rPr>
            </w:pPr>
          </w:p>
          <w:p w14:paraId="2F4AA7D9" w14:textId="77777777" w:rsidR="00AE7DD4" w:rsidRPr="007B6616" w:rsidRDefault="00AE7DD4" w:rsidP="00C54C0E">
            <w:pPr>
              <w:pStyle w:val="ListParagraph"/>
              <w:ind w:left="0"/>
              <w:rPr>
                <w:rFonts w:ascii="Segoe UI" w:hAnsi="Segoe UI" w:cs="Segoe UI"/>
                <w:sz w:val="24"/>
                <w:szCs w:val="24"/>
                <w:lang w:val="en-US"/>
              </w:rPr>
            </w:pPr>
          </w:p>
          <w:p w14:paraId="0E27A10A" w14:textId="77777777" w:rsidR="00AE7DD4" w:rsidRPr="007B6616" w:rsidRDefault="00AE7DD4" w:rsidP="00C54C0E">
            <w:pPr>
              <w:pStyle w:val="ListParagraph"/>
              <w:ind w:left="0"/>
              <w:rPr>
                <w:rFonts w:ascii="Segoe UI" w:hAnsi="Segoe UI" w:cs="Segoe UI"/>
                <w:sz w:val="24"/>
                <w:szCs w:val="24"/>
                <w:lang w:val="en-US"/>
              </w:rPr>
            </w:pPr>
          </w:p>
          <w:p w14:paraId="09FC65E1" w14:textId="77777777" w:rsidR="00AE7DD4" w:rsidRPr="007B6616" w:rsidRDefault="00AE7DD4" w:rsidP="00C54C0E">
            <w:pPr>
              <w:pStyle w:val="ListParagraph"/>
              <w:ind w:left="0"/>
              <w:rPr>
                <w:rFonts w:ascii="Segoe UI" w:hAnsi="Segoe UI" w:cs="Segoe UI"/>
                <w:sz w:val="24"/>
                <w:szCs w:val="24"/>
                <w:lang w:val="en-US"/>
              </w:rPr>
            </w:pPr>
          </w:p>
          <w:p w14:paraId="69C9620B" w14:textId="63494CF9" w:rsidR="00AE7DD4" w:rsidRPr="007B6616" w:rsidRDefault="00AE7DD4" w:rsidP="00C54C0E">
            <w:pPr>
              <w:pStyle w:val="ListParagraph"/>
              <w:ind w:left="0"/>
              <w:rPr>
                <w:rFonts w:ascii="Segoe UI" w:hAnsi="Segoe UI" w:cs="Segoe UI"/>
                <w:sz w:val="24"/>
                <w:szCs w:val="24"/>
                <w:lang w:val="en-US"/>
              </w:rPr>
            </w:pPr>
          </w:p>
          <w:p w14:paraId="0E1AD62F" w14:textId="369787DD" w:rsidR="00AE7DD4" w:rsidRPr="007B6616" w:rsidRDefault="00AE7DD4" w:rsidP="00C54C0E">
            <w:pPr>
              <w:pStyle w:val="ListParagraph"/>
              <w:ind w:left="0"/>
              <w:rPr>
                <w:rFonts w:ascii="Segoe UI" w:hAnsi="Segoe UI" w:cs="Segoe UI"/>
                <w:sz w:val="24"/>
                <w:szCs w:val="24"/>
                <w:lang w:val="en-US"/>
              </w:rPr>
            </w:pPr>
          </w:p>
          <w:p w14:paraId="6E440B5D" w14:textId="4374E612" w:rsidR="00AE7DD4" w:rsidRPr="007B6616" w:rsidRDefault="00AE7DD4" w:rsidP="00C54C0E">
            <w:pPr>
              <w:pStyle w:val="ListParagraph"/>
              <w:ind w:left="0"/>
              <w:rPr>
                <w:rFonts w:ascii="Segoe UI" w:hAnsi="Segoe UI" w:cs="Segoe UI"/>
                <w:sz w:val="24"/>
                <w:szCs w:val="24"/>
                <w:lang w:val="en-US"/>
              </w:rPr>
            </w:pPr>
          </w:p>
          <w:p w14:paraId="76AB20F8" w14:textId="1E1CC188" w:rsidR="00AE7DD4" w:rsidRPr="007B6616" w:rsidRDefault="00AE7DD4" w:rsidP="00C54C0E">
            <w:pPr>
              <w:pStyle w:val="ListParagraph"/>
              <w:ind w:left="0"/>
              <w:rPr>
                <w:rFonts w:ascii="Segoe UI" w:hAnsi="Segoe UI" w:cs="Segoe UI"/>
                <w:sz w:val="24"/>
                <w:szCs w:val="24"/>
                <w:lang w:val="en-US"/>
              </w:rPr>
            </w:pPr>
          </w:p>
          <w:p w14:paraId="50394690" w14:textId="4054D914" w:rsidR="00AE7DD4" w:rsidRPr="007B6616" w:rsidRDefault="00AE7DD4" w:rsidP="00C54C0E">
            <w:pPr>
              <w:pStyle w:val="ListParagraph"/>
              <w:ind w:left="0"/>
              <w:rPr>
                <w:rFonts w:ascii="Segoe UI" w:hAnsi="Segoe UI" w:cs="Segoe UI"/>
                <w:sz w:val="24"/>
                <w:szCs w:val="24"/>
                <w:lang w:val="en-US"/>
              </w:rPr>
            </w:pPr>
          </w:p>
          <w:p w14:paraId="1218BB25" w14:textId="59D03CFA" w:rsidR="00AE7DD4" w:rsidRPr="007B6616" w:rsidRDefault="00AE7DD4" w:rsidP="00C54C0E">
            <w:pPr>
              <w:pStyle w:val="ListParagraph"/>
              <w:ind w:left="0"/>
              <w:rPr>
                <w:rFonts w:ascii="Segoe UI" w:hAnsi="Segoe UI" w:cs="Segoe UI"/>
                <w:sz w:val="24"/>
                <w:szCs w:val="24"/>
                <w:lang w:val="en-US"/>
              </w:rPr>
            </w:pPr>
          </w:p>
          <w:p w14:paraId="24C0280D" w14:textId="7ACD3D68" w:rsidR="00AE7DD4" w:rsidRPr="007B6616" w:rsidRDefault="00AE7DD4" w:rsidP="00C54C0E">
            <w:pPr>
              <w:pStyle w:val="ListParagraph"/>
              <w:ind w:left="0"/>
              <w:rPr>
                <w:rFonts w:ascii="Segoe UI" w:hAnsi="Segoe UI" w:cs="Segoe UI"/>
                <w:sz w:val="24"/>
                <w:szCs w:val="24"/>
                <w:lang w:val="en-US"/>
              </w:rPr>
            </w:pPr>
          </w:p>
          <w:p w14:paraId="6C970673"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Mitigation Measures – Fish Impingement</w:t>
            </w:r>
          </w:p>
          <w:p w14:paraId="2E1F91DD" w14:textId="77777777" w:rsidR="00AE7DD4" w:rsidRPr="007B6616" w:rsidRDefault="00AE7DD4" w:rsidP="00C54C0E">
            <w:pPr>
              <w:pStyle w:val="ListParagraph"/>
              <w:ind w:left="0"/>
              <w:rPr>
                <w:rFonts w:ascii="Segoe UI" w:hAnsi="Segoe UI" w:cs="Segoe UI"/>
                <w:sz w:val="24"/>
                <w:szCs w:val="24"/>
                <w:lang w:val="en-US"/>
              </w:rPr>
            </w:pPr>
          </w:p>
          <w:p w14:paraId="7E45B281" w14:textId="77777777" w:rsidR="00AE7DD4" w:rsidRPr="007B6616" w:rsidRDefault="00AE7DD4" w:rsidP="00C54C0E">
            <w:pPr>
              <w:pStyle w:val="ListParagraph"/>
              <w:ind w:left="0"/>
              <w:rPr>
                <w:rFonts w:ascii="Segoe UI" w:hAnsi="Segoe UI" w:cs="Segoe UI"/>
                <w:sz w:val="24"/>
                <w:szCs w:val="24"/>
                <w:lang w:val="en-US"/>
              </w:rPr>
            </w:pPr>
          </w:p>
          <w:p w14:paraId="29F0BC87" w14:textId="77777777" w:rsidR="00AE7DD4" w:rsidRPr="007B6616" w:rsidRDefault="00AE7DD4" w:rsidP="00C54C0E">
            <w:pPr>
              <w:pStyle w:val="ListParagraph"/>
              <w:ind w:left="0"/>
              <w:rPr>
                <w:rFonts w:ascii="Segoe UI" w:hAnsi="Segoe UI" w:cs="Segoe UI"/>
                <w:sz w:val="24"/>
                <w:szCs w:val="24"/>
                <w:lang w:val="en-US"/>
              </w:rPr>
            </w:pPr>
          </w:p>
          <w:p w14:paraId="49348FB7" w14:textId="77777777" w:rsidR="00AE7DD4" w:rsidRPr="007B6616" w:rsidRDefault="00AE7DD4" w:rsidP="00C54C0E">
            <w:pPr>
              <w:pStyle w:val="ListParagraph"/>
              <w:ind w:left="0"/>
              <w:rPr>
                <w:rFonts w:ascii="Segoe UI" w:hAnsi="Segoe UI" w:cs="Segoe UI"/>
                <w:sz w:val="24"/>
                <w:szCs w:val="24"/>
                <w:lang w:val="en-US"/>
              </w:rPr>
            </w:pPr>
          </w:p>
          <w:p w14:paraId="6EF54DEE" w14:textId="77777777" w:rsidR="00AE7DD4" w:rsidRPr="007B6616" w:rsidRDefault="00AE7DD4" w:rsidP="00C54C0E">
            <w:pPr>
              <w:pStyle w:val="ListParagraph"/>
              <w:ind w:left="0"/>
              <w:rPr>
                <w:rFonts w:ascii="Segoe UI" w:hAnsi="Segoe UI" w:cs="Segoe UI"/>
                <w:sz w:val="24"/>
                <w:szCs w:val="24"/>
                <w:lang w:val="en-US"/>
              </w:rPr>
            </w:pPr>
          </w:p>
          <w:p w14:paraId="5C861BE1" w14:textId="77777777" w:rsidR="00AE7DD4" w:rsidRPr="007B6616" w:rsidRDefault="00AE7DD4" w:rsidP="00C54C0E">
            <w:pPr>
              <w:pStyle w:val="ListParagraph"/>
              <w:ind w:left="0"/>
              <w:rPr>
                <w:rFonts w:ascii="Segoe UI" w:hAnsi="Segoe UI" w:cs="Segoe UI"/>
                <w:sz w:val="24"/>
                <w:szCs w:val="24"/>
                <w:lang w:val="en-US"/>
              </w:rPr>
            </w:pPr>
          </w:p>
          <w:p w14:paraId="315AB91A" w14:textId="77777777" w:rsidR="00AE7DD4" w:rsidRPr="007B6616" w:rsidRDefault="00AE7DD4" w:rsidP="00C54C0E">
            <w:pPr>
              <w:pStyle w:val="ListParagraph"/>
              <w:ind w:left="0"/>
              <w:rPr>
                <w:rFonts w:ascii="Segoe UI" w:hAnsi="Segoe UI" w:cs="Segoe UI"/>
                <w:sz w:val="24"/>
                <w:szCs w:val="24"/>
                <w:lang w:val="en-US"/>
              </w:rPr>
            </w:pPr>
          </w:p>
          <w:p w14:paraId="2CC2186E" w14:textId="77777777" w:rsidR="00AE7DD4" w:rsidRPr="007B6616" w:rsidRDefault="00AE7DD4" w:rsidP="00C54C0E">
            <w:pPr>
              <w:pStyle w:val="ListParagraph"/>
              <w:ind w:left="0"/>
              <w:rPr>
                <w:rFonts w:ascii="Segoe UI" w:hAnsi="Segoe UI" w:cs="Segoe UI"/>
                <w:sz w:val="24"/>
                <w:szCs w:val="24"/>
                <w:lang w:val="en-US"/>
              </w:rPr>
            </w:pPr>
          </w:p>
          <w:p w14:paraId="2294E7F1" w14:textId="77777777" w:rsidR="00AE7DD4" w:rsidRPr="007B6616" w:rsidRDefault="00AE7DD4" w:rsidP="00C54C0E">
            <w:pPr>
              <w:pStyle w:val="ListParagraph"/>
              <w:ind w:left="0"/>
              <w:rPr>
                <w:rFonts w:ascii="Segoe UI" w:hAnsi="Segoe UI" w:cs="Segoe UI"/>
                <w:sz w:val="24"/>
                <w:szCs w:val="24"/>
                <w:lang w:val="en-US"/>
              </w:rPr>
            </w:pPr>
          </w:p>
          <w:p w14:paraId="5B873798"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Mitigation Measures – Terrestrial Environment</w:t>
            </w:r>
          </w:p>
          <w:p w14:paraId="7D100192" w14:textId="77777777" w:rsidR="00AE7DD4" w:rsidRPr="007B6616" w:rsidRDefault="00AE7DD4" w:rsidP="00C54C0E">
            <w:pPr>
              <w:pStyle w:val="ListParagraph"/>
              <w:ind w:left="0"/>
              <w:rPr>
                <w:rFonts w:ascii="Segoe UI" w:hAnsi="Segoe UI" w:cs="Segoe UI"/>
                <w:sz w:val="24"/>
                <w:szCs w:val="24"/>
                <w:lang w:val="en-US"/>
              </w:rPr>
            </w:pPr>
          </w:p>
          <w:p w14:paraId="66169B07" w14:textId="77777777" w:rsidR="00AE7DD4" w:rsidRPr="007B6616" w:rsidRDefault="00AE7DD4" w:rsidP="00C54C0E">
            <w:pPr>
              <w:pStyle w:val="ListParagraph"/>
              <w:ind w:left="0"/>
              <w:rPr>
                <w:rFonts w:ascii="Segoe UI" w:hAnsi="Segoe UI" w:cs="Segoe UI"/>
                <w:sz w:val="24"/>
                <w:szCs w:val="24"/>
                <w:lang w:val="en-US"/>
              </w:rPr>
            </w:pPr>
          </w:p>
          <w:p w14:paraId="7D5DD80E" w14:textId="77777777" w:rsidR="00AE7DD4" w:rsidRPr="007B6616" w:rsidRDefault="00AE7DD4" w:rsidP="00C54C0E">
            <w:pPr>
              <w:pStyle w:val="ListParagraph"/>
              <w:ind w:left="0"/>
              <w:rPr>
                <w:rFonts w:ascii="Segoe UI" w:hAnsi="Segoe UI" w:cs="Segoe UI"/>
                <w:sz w:val="24"/>
                <w:szCs w:val="24"/>
                <w:lang w:val="en-US"/>
              </w:rPr>
            </w:pPr>
          </w:p>
          <w:p w14:paraId="09939689" w14:textId="77777777" w:rsidR="00AE7DD4" w:rsidRPr="007B6616" w:rsidRDefault="00AE7DD4" w:rsidP="00C54C0E">
            <w:pPr>
              <w:pStyle w:val="ListParagraph"/>
              <w:ind w:left="0"/>
              <w:rPr>
                <w:rFonts w:ascii="Segoe UI" w:hAnsi="Segoe UI" w:cs="Segoe UI"/>
                <w:sz w:val="24"/>
                <w:szCs w:val="24"/>
                <w:lang w:val="en-US"/>
              </w:rPr>
            </w:pPr>
          </w:p>
          <w:p w14:paraId="4BB9FE57" w14:textId="77777777" w:rsidR="00AE7DD4" w:rsidRPr="007B6616" w:rsidRDefault="00AE7DD4" w:rsidP="00C54C0E">
            <w:pPr>
              <w:pStyle w:val="ListParagraph"/>
              <w:ind w:left="0"/>
              <w:rPr>
                <w:rFonts w:ascii="Segoe UI" w:hAnsi="Segoe UI" w:cs="Segoe UI"/>
                <w:sz w:val="24"/>
                <w:szCs w:val="24"/>
                <w:lang w:val="en-US"/>
              </w:rPr>
            </w:pPr>
          </w:p>
          <w:p w14:paraId="6CF481BC"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Species at Risk</w:t>
            </w:r>
          </w:p>
          <w:p w14:paraId="61F33AC4" w14:textId="77777777" w:rsidR="00AE7DD4" w:rsidRPr="007B6616" w:rsidRDefault="00AE7DD4" w:rsidP="00C54C0E">
            <w:pPr>
              <w:pStyle w:val="ListParagraph"/>
              <w:ind w:left="0"/>
              <w:rPr>
                <w:rFonts w:ascii="Segoe UI" w:hAnsi="Segoe UI" w:cs="Segoe UI"/>
                <w:sz w:val="24"/>
                <w:szCs w:val="24"/>
                <w:lang w:val="en-US"/>
              </w:rPr>
            </w:pPr>
          </w:p>
          <w:p w14:paraId="02FDF91D" w14:textId="77777777" w:rsidR="00AE7DD4" w:rsidRPr="007B6616" w:rsidRDefault="00AE7DD4" w:rsidP="00C54C0E">
            <w:pPr>
              <w:pStyle w:val="ListParagraph"/>
              <w:ind w:left="0"/>
              <w:rPr>
                <w:rFonts w:ascii="Segoe UI" w:hAnsi="Segoe UI" w:cs="Segoe UI"/>
                <w:sz w:val="24"/>
                <w:szCs w:val="24"/>
                <w:lang w:val="en-US"/>
              </w:rPr>
            </w:pPr>
          </w:p>
          <w:p w14:paraId="186F6B56" w14:textId="77777777" w:rsidR="00AE7DD4" w:rsidRPr="007B6616" w:rsidRDefault="00AE7DD4" w:rsidP="00C54C0E">
            <w:pPr>
              <w:pStyle w:val="ListParagraph"/>
              <w:ind w:left="0"/>
              <w:rPr>
                <w:rFonts w:ascii="Segoe UI" w:hAnsi="Segoe UI" w:cs="Segoe UI"/>
                <w:sz w:val="24"/>
                <w:szCs w:val="24"/>
                <w:lang w:val="en-US"/>
              </w:rPr>
            </w:pPr>
          </w:p>
          <w:p w14:paraId="094861F4" w14:textId="77777777" w:rsidR="00AE7DD4" w:rsidRPr="007B6616" w:rsidRDefault="00AE7DD4" w:rsidP="00C54C0E">
            <w:pPr>
              <w:pStyle w:val="ListParagraph"/>
              <w:ind w:left="0"/>
              <w:rPr>
                <w:rFonts w:ascii="Segoe UI" w:hAnsi="Segoe UI" w:cs="Segoe UI"/>
                <w:sz w:val="24"/>
                <w:szCs w:val="24"/>
                <w:lang w:val="en-US"/>
              </w:rPr>
            </w:pPr>
          </w:p>
          <w:p w14:paraId="67126FF4" w14:textId="77777777" w:rsidR="00AE7DD4" w:rsidRPr="007B6616" w:rsidRDefault="00AE7DD4" w:rsidP="00C54C0E">
            <w:pPr>
              <w:pStyle w:val="ListParagraph"/>
              <w:ind w:left="0"/>
              <w:rPr>
                <w:rFonts w:ascii="Segoe UI" w:hAnsi="Segoe UI" w:cs="Segoe UI"/>
                <w:sz w:val="24"/>
                <w:szCs w:val="24"/>
                <w:lang w:val="en-US"/>
              </w:rPr>
            </w:pPr>
          </w:p>
          <w:p w14:paraId="2E76EF9F" w14:textId="77777777" w:rsidR="00AE7DD4" w:rsidRPr="007B6616" w:rsidRDefault="00AE7DD4" w:rsidP="00C54C0E">
            <w:pPr>
              <w:pStyle w:val="ListParagraph"/>
              <w:ind w:left="0"/>
              <w:rPr>
                <w:rFonts w:ascii="Segoe UI" w:hAnsi="Segoe UI" w:cs="Segoe UI"/>
                <w:sz w:val="24"/>
                <w:szCs w:val="24"/>
                <w:lang w:val="en-US"/>
              </w:rPr>
            </w:pPr>
          </w:p>
          <w:p w14:paraId="01BD5F5B" w14:textId="77777777" w:rsidR="00AE7DD4" w:rsidRPr="007B6616" w:rsidRDefault="00AE7DD4" w:rsidP="00C54C0E">
            <w:pPr>
              <w:pStyle w:val="ListParagraph"/>
              <w:ind w:left="0"/>
              <w:rPr>
                <w:rFonts w:ascii="Segoe UI" w:hAnsi="Segoe UI" w:cs="Segoe UI"/>
                <w:sz w:val="24"/>
                <w:szCs w:val="24"/>
                <w:lang w:val="en-US"/>
              </w:rPr>
            </w:pPr>
          </w:p>
          <w:p w14:paraId="6C62B642" w14:textId="77777777" w:rsidR="00AE7DD4" w:rsidRPr="007B6616" w:rsidRDefault="00AE7DD4" w:rsidP="00C54C0E">
            <w:pPr>
              <w:pStyle w:val="ListParagraph"/>
              <w:ind w:left="0"/>
              <w:rPr>
                <w:rFonts w:ascii="Segoe UI" w:hAnsi="Segoe UI" w:cs="Segoe UI"/>
                <w:sz w:val="24"/>
                <w:szCs w:val="24"/>
                <w:lang w:val="en-US"/>
              </w:rPr>
            </w:pPr>
          </w:p>
          <w:p w14:paraId="193B9191" w14:textId="77777777" w:rsidR="00AE7DD4" w:rsidRPr="007B6616" w:rsidRDefault="00AE7DD4" w:rsidP="00C54C0E">
            <w:pPr>
              <w:pStyle w:val="ListParagraph"/>
              <w:ind w:left="0"/>
              <w:rPr>
                <w:rFonts w:ascii="Segoe UI" w:hAnsi="Segoe UI" w:cs="Segoe UI"/>
                <w:sz w:val="24"/>
                <w:szCs w:val="24"/>
                <w:lang w:val="en-US"/>
              </w:rPr>
            </w:pPr>
          </w:p>
          <w:p w14:paraId="0F946C7C" w14:textId="77777777" w:rsidR="00AE7DD4" w:rsidRPr="007B6616" w:rsidRDefault="00AE7DD4" w:rsidP="00C54C0E">
            <w:pPr>
              <w:pStyle w:val="ListParagraph"/>
              <w:ind w:left="0"/>
              <w:rPr>
                <w:rFonts w:ascii="Segoe UI" w:hAnsi="Segoe UI" w:cs="Segoe UI"/>
                <w:sz w:val="24"/>
                <w:szCs w:val="24"/>
                <w:lang w:val="en-US"/>
              </w:rPr>
            </w:pPr>
          </w:p>
          <w:p w14:paraId="7E44B0E8" w14:textId="77777777" w:rsidR="00AE7DD4" w:rsidRPr="007B6616" w:rsidRDefault="00AE7DD4" w:rsidP="00C54C0E">
            <w:pPr>
              <w:pStyle w:val="ListParagraph"/>
              <w:ind w:left="0"/>
              <w:rPr>
                <w:rFonts w:ascii="Segoe UI" w:hAnsi="Segoe UI" w:cs="Segoe UI"/>
                <w:sz w:val="24"/>
                <w:szCs w:val="24"/>
                <w:lang w:val="en-US"/>
              </w:rPr>
            </w:pPr>
          </w:p>
          <w:p w14:paraId="3D47612B" w14:textId="77777777" w:rsidR="00AE7DD4" w:rsidRPr="007B6616" w:rsidRDefault="00AE7DD4" w:rsidP="00C54C0E">
            <w:pPr>
              <w:pStyle w:val="ListParagraph"/>
              <w:ind w:left="0"/>
              <w:rPr>
                <w:rFonts w:ascii="Segoe UI" w:hAnsi="Segoe UI" w:cs="Segoe UI"/>
                <w:sz w:val="24"/>
                <w:szCs w:val="24"/>
                <w:lang w:val="en-US"/>
              </w:rPr>
            </w:pPr>
          </w:p>
          <w:p w14:paraId="7E9CF502" w14:textId="77777777" w:rsidR="00AE7DD4" w:rsidRPr="007B6616" w:rsidRDefault="00AE7DD4" w:rsidP="00C54C0E">
            <w:pPr>
              <w:pStyle w:val="ListParagraph"/>
              <w:ind w:left="0"/>
              <w:rPr>
                <w:rFonts w:ascii="Segoe UI" w:hAnsi="Segoe UI" w:cs="Segoe UI"/>
                <w:sz w:val="24"/>
                <w:szCs w:val="24"/>
                <w:lang w:val="en-US"/>
              </w:rPr>
            </w:pPr>
          </w:p>
          <w:p w14:paraId="7C174477" w14:textId="77777777" w:rsidR="00AE7DD4" w:rsidRPr="007B6616" w:rsidRDefault="00AE7DD4" w:rsidP="00C54C0E">
            <w:pPr>
              <w:pStyle w:val="ListParagraph"/>
              <w:ind w:left="0"/>
              <w:rPr>
                <w:rFonts w:ascii="Segoe UI" w:hAnsi="Segoe UI" w:cs="Segoe UI"/>
                <w:sz w:val="24"/>
                <w:szCs w:val="24"/>
                <w:lang w:val="en-US"/>
              </w:rPr>
            </w:pPr>
          </w:p>
          <w:p w14:paraId="5F842336" w14:textId="77777777" w:rsidR="00AE7DD4" w:rsidRPr="007B6616" w:rsidRDefault="00AE7DD4" w:rsidP="00C54C0E">
            <w:pPr>
              <w:pStyle w:val="ListParagraph"/>
              <w:ind w:left="0"/>
              <w:rPr>
                <w:rFonts w:ascii="Segoe UI" w:hAnsi="Segoe UI" w:cs="Segoe UI"/>
                <w:sz w:val="24"/>
                <w:szCs w:val="24"/>
                <w:lang w:val="en-US"/>
              </w:rPr>
            </w:pPr>
          </w:p>
          <w:p w14:paraId="39D0E2C0" w14:textId="77777777" w:rsidR="00AE7DD4" w:rsidRPr="007B6616" w:rsidRDefault="00AE7DD4" w:rsidP="00C54C0E">
            <w:pPr>
              <w:pStyle w:val="ListParagraph"/>
              <w:ind w:left="0"/>
              <w:rPr>
                <w:rFonts w:ascii="Segoe UI" w:hAnsi="Segoe UI" w:cs="Segoe UI"/>
                <w:sz w:val="24"/>
                <w:szCs w:val="24"/>
                <w:lang w:val="en-US"/>
              </w:rPr>
            </w:pPr>
          </w:p>
          <w:p w14:paraId="6010EF07" w14:textId="77777777" w:rsidR="00AE7DD4" w:rsidRPr="007B6616" w:rsidRDefault="00AE7DD4" w:rsidP="00C54C0E">
            <w:pPr>
              <w:pStyle w:val="ListParagraph"/>
              <w:ind w:left="0"/>
              <w:rPr>
                <w:rFonts w:ascii="Segoe UI" w:hAnsi="Segoe UI" w:cs="Segoe UI"/>
                <w:sz w:val="24"/>
                <w:szCs w:val="24"/>
                <w:lang w:val="en-US"/>
              </w:rPr>
            </w:pPr>
          </w:p>
          <w:p w14:paraId="3F4CA7CA" w14:textId="77777777" w:rsidR="00AE7DD4" w:rsidRPr="007B6616" w:rsidRDefault="00AE7DD4" w:rsidP="00C54C0E">
            <w:pPr>
              <w:pStyle w:val="ListParagraph"/>
              <w:ind w:left="0"/>
              <w:rPr>
                <w:rFonts w:ascii="Segoe UI" w:hAnsi="Segoe UI" w:cs="Segoe UI"/>
                <w:sz w:val="24"/>
                <w:szCs w:val="24"/>
                <w:lang w:val="en-US"/>
              </w:rPr>
            </w:pPr>
          </w:p>
          <w:p w14:paraId="43948139" w14:textId="77777777" w:rsidR="00AE7DD4" w:rsidRPr="007B6616" w:rsidRDefault="00AE7DD4" w:rsidP="00C54C0E">
            <w:pPr>
              <w:pStyle w:val="ListParagraph"/>
              <w:ind w:left="0"/>
              <w:rPr>
                <w:rFonts w:ascii="Segoe UI" w:hAnsi="Segoe UI" w:cs="Segoe UI"/>
                <w:sz w:val="24"/>
                <w:szCs w:val="24"/>
                <w:lang w:val="en-US"/>
              </w:rPr>
            </w:pPr>
          </w:p>
          <w:p w14:paraId="129AD241" w14:textId="77777777" w:rsidR="00AE7DD4" w:rsidRPr="007B6616" w:rsidRDefault="00AE7DD4" w:rsidP="00C54C0E">
            <w:pPr>
              <w:pStyle w:val="ListParagraph"/>
              <w:ind w:left="0"/>
              <w:rPr>
                <w:rFonts w:ascii="Segoe UI" w:hAnsi="Segoe UI" w:cs="Segoe UI"/>
                <w:sz w:val="24"/>
                <w:szCs w:val="24"/>
                <w:lang w:val="en-US"/>
              </w:rPr>
            </w:pPr>
          </w:p>
          <w:p w14:paraId="615647D5" w14:textId="77777777" w:rsidR="00AE7DD4" w:rsidRPr="007B6616" w:rsidRDefault="00AE7DD4" w:rsidP="00C54C0E">
            <w:pPr>
              <w:pStyle w:val="ListParagraph"/>
              <w:ind w:left="0"/>
              <w:rPr>
                <w:rFonts w:ascii="Segoe UI" w:hAnsi="Segoe UI" w:cs="Segoe UI"/>
                <w:sz w:val="24"/>
                <w:szCs w:val="24"/>
                <w:lang w:val="en-US"/>
              </w:rPr>
            </w:pPr>
          </w:p>
          <w:p w14:paraId="38607EC6" w14:textId="77777777" w:rsidR="00AE7DD4" w:rsidRPr="007B6616" w:rsidRDefault="00AE7DD4" w:rsidP="00C54C0E">
            <w:pPr>
              <w:pStyle w:val="ListParagraph"/>
              <w:ind w:left="0"/>
              <w:rPr>
                <w:rFonts w:ascii="Segoe UI" w:hAnsi="Segoe UI" w:cs="Segoe UI"/>
                <w:sz w:val="24"/>
                <w:szCs w:val="24"/>
                <w:lang w:val="en-US"/>
              </w:rPr>
            </w:pPr>
          </w:p>
          <w:p w14:paraId="4BFB580C" w14:textId="77777777" w:rsidR="00AE7DD4" w:rsidRPr="007B6616" w:rsidRDefault="00AE7DD4" w:rsidP="00C54C0E">
            <w:pPr>
              <w:pStyle w:val="ListParagraph"/>
              <w:ind w:left="0"/>
              <w:rPr>
                <w:rFonts w:ascii="Segoe UI" w:hAnsi="Segoe UI" w:cs="Segoe UI"/>
                <w:sz w:val="24"/>
                <w:szCs w:val="24"/>
                <w:lang w:val="en-US"/>
              </w:rPr>
            </w:pPr>
          </w:p>
          <w:p w14:paraId="7F2F3B9B" w14:textId="77777777" w:rsidR="00AE7DD4" w:rsidRPr="007B6616" w:rsidRDefault="00AE7DD4" w:rsidP="00C54C0E">
            <w:pPr>
              <w:pStyle w:val="ListParagraph"/>
              <w:ind w:left="0"/>
              <w:rPr>
                <w:rFonts w:ascii="Segoe UI" w:hAnsi="Segoe UI" w:cs="Segoe UI"/>
                <w:sz w:val="24"/>
                <w:szCs w:val="24"/>
                <w:lang w:val="en-US"/>
              </w:rPr>
            </w:pPr>
          </w:p>
          <w:p w14:paraId="17111DC5" w14:textId="77777777" w:rsidR="00AE7DD4" w:rsidRPr="007B6616" w:rsidRDefault="00AE7DD4" w:rsidP="00C54C0E">
            <w:pPr>
              <w:pStyle w:val="ListParagraph"/>
              <w:ind w:left="0"/>
              <w:rPr>
                <w:rFonts w:ascii="Segoe UI" w:hAnsi="Segoe UI" w:cs="Segoe UI"/>
                <w:sz w:val="24"/>
                <w:szCs w:val="24"/>
                <w:lang w:val="en-US"/>
              </w:rPr>
            </w:pPr>
          </w:p>
          <w:p w14:paraId="239F2489" w14:textId="77777777" w:rsidR="00AE7DD4" w:rsidRPr="007B6616" w:rsidRDefault="00AE7DD4" w:rsidP="00C54C0E">
            <w:pPr>
              <w:pStyle w:val="ListParagraph"/>
              <w:ind w:left="0"/>
              <w:rPr>
                <w:rFonts w:ascii="Segoe UI" w:hAnsi="Segoe UI" w:cs="Segoe UI"/>
                <w:sz w:val="24"/>
                <w:szCs w:val="24"/>
                <w:lang w:val="en-US"/>
              </w:rPr>
            </w:pPr>
          </w:p>
          <w:p w14:paraId="0A11902A" w14:textId="0BBB2FE8"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Thermal Plume</w:t>
            </w:r>
          </w:p>
        </w:tc>
        <w:tc>
          <w:tcPr>
            <w:tcW w:w="6520" w:type="dxa"/>
          </w:tcPr>
          <w:p w14:paraId="0DF06F7C" w14:textId="603EE0A9"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 xml:space="preserve">Another relevant effect of DNNP would be the increase in water temperature via outflow into Lake Ontario. Thermal effects of the DNNP project should be considered alongside climate change already increasing surface water temperatures as a cumulative effect on the lake </w:t>
            </w:r>
            <w:r w:rsidR="009D7B56" w:rsidRPr="007B6616">
              <w:rPr>
                <w:rFonts w:ascii="Segoe UI" w:hAnsi="Segoe UI" w:cs="Segoe UI"/>
                <w:color w:val="000000"/>
                <w:sz w:val="24"/>
                <w:szCs w:val="24"/>
              </w:rPr>
              <w:t>ecosystem.</w:t>
            </w:r>
          </w:p>
          <w:p w14:paraId="6881DEF6" w14:textId="77777777"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It is understood that the DNNP Project is subject to the Ontario Environmental Assessment Act, which typically has an expiry date for most projects. Please explain why there is no expiry date on the EA decision for DNNP, as well as how OPG justifies the project remaining within the original scope from 2011. The natural environment on the DNNP site as well as the surrounding land use has changed significantly over the last decade and must be taken into consideration.</w:t>
            </w:r>
          </w:p>
          <w:p w14:paraId="3D000111" w14:textId="1DB00C06" w:rsidR="00AE7DD4" w:rsidRPr="007B6616" w:rsidRDefault="009D7B56" w:rsidP="00856D3F">
            <w:pPr>
              <w:pStyle w:val="ListParagraph"/>
              <w:numPr>
                <w:ilvl w:val="0"/>
                <w:numId w:val="17"/>
              </w:numPr>
              <w:rPr>
                <w:rFonts w:ascii="Segoe UI" w:hAnsi="Segoe UI" w:cs="Segoe UI"/>
                <w:color w:val="000000"/>
                <w:sz w:val="24"/>
                <w:szCs w:val="24"/>
              </w:rPr>
            </w:pPr>
            <w:r>
              <w:rPr>
                <w:rFonts w:ascii="Segoe UI" w:hAnsi="Segoe UI" w:cs="Segoe UI"/>
                <w:color w:val="000000"/>
                <w:sz w:val="24"/>
                <w:szCs w:val="24"/>
              </w:rPr>
              <w:t>C</w:t>
            </w:r>
            <w:r w:rsidRPr="007B6616">
              <w:rPr>
                <w:rFonts w:ascii="Segoe UI" w:hAnsi="Segoe UI" w:cs="Segoe UI"/>
                <w:color w:val="000000"/>
                <w:sz w:val="24"/>
                <w:szCs w:val="24"/>
              </w:rPr>
              <w:t>oncern</w:t>
            </w:r>
            <w:r w:rsidR="00AE7DD4" w:rsidRPr="007B6616">
              <w:rPr>
                <w:rFonts w:ascii="Segoe UI" w:hAnsi="Segoe UI" w:cs="Segoe UI"/>
                <w:color w:val="000000"/>
                <w:sz w:val="24"/>
                <w:szCs w:val="24"/>
              </w:rPr>
              <w:t xml:space="preserve"> that even if OPG concludes that the effect will be reduced compared to the original EA finding, there will still be an effect. </w:t>
            </w:r>
          </w:p>
          <w:p w14:paraId="25EBF075" w14:textId="46E30910" w:rsidR="00AE7DD4" w:rsidRPr="007B6616" w:rsidRDefault="007B6616" w:rsidP="00856D3F">
            <w:pPr>
              <w:pStyle w:val="ListParagraph"/>
              <w:numPr>
                <w:ilvl w:val="0"/>
                <w:numId w:val="17"/>
              </w:numPr>
              <w:rPr>
                <w:rFonts w:ascii="Segoe UI" w:hAnsi="Segoe UI" w:cs="Segoe UI"/>
                <w:color w:val="000000"/>
                <w:sz w:val="24"/>
                <w:szCs w:val="24"/>
              </w:rPr>
            </w:pPr>
            <w:r>
              <w:rPr>
                <w:rFonts w:ascii="Segoe UI" w:hAnsi="Segoe UI" w:cs="Segoe UI"/>
                <w:color w:val="000000"/>
                <w:sz w:val="24"/>
                <w:szCs w:val="24"/>
              </w:rPr>
              <w:t>W</w:t>
            </w:r>
            <w:r w:rsidR="00AE7DD4" w:rsidRPr="007B6616">
              <w:rPr>
                <w:rFonts w:ascii="Segoe UI" w:hAnsi="Segoe UI" w:cs="Segoe UI"/>
                <w:color w:val="000000"/>
                <w:sz w:val="24"/>
                <w:szCs w:val="24"/>
              </w:rPr>
              <w:t xml:space="preserve">hat </w:t>
            </w:r>
            <w:r>
              <w:rPr>
                <w:rFonts w:ascii="Segoe UI" w:hAnsi="Segoe UI" w:cs="Segoe UI"/>
                <w:color w:val="000000"/>
                <w:sz w:val="24"/>
                <w:szCs w:val="24"/>
              </w:rPr>
              <w:t xml:space="preserve">is </w:t>
            </w:r>
            <w:r w:rsidR="00AE7DD4" w:rsidRPr="007B6616">
              <w:rPr>
                <w:rFonts w:ascii="Segoe UI" w:hAnsi="Segoe UI" w:cs="Segoe UI"/>
                <w:color w:val="000000"/>
                <w:sz w:val="24"/>
                <w:szCs w:val="24"/>
              </w:rPr>
              <w:t>th</w:t>
            </w:r>
            <w:r>
              <w:rPr>
                <w:rFonts w:ascii="Segoe UI" w:hAnsi="Segoe UI" w:cs="Segoe UI"/>
                <w:color w:val="000000"/>
                <w:sz w:val="24"/>
                <w:szCs w:val="24"/>
              </w:rPr>
              <w:t>e</w:t>
            </w:r>
            <w:r w:rsidR="00AE7DD4" w:rsidRPr="007B6616">
              <w:rPr>
                <w:rFonts w:ascii="Segoe UI" w:hAnsi="Segoe UI" w:cs="Segoe UI"/>
                <w:color w:val="000000"/>
                <w:sz w:val="24"/>
                <w:szCs w:val="24"/>
              </w:rPr>
              <w:t xml:space="preserve"> effect / impact will be and if the impacts are different with the new technology</w:t>
            </w:r>
            <w:r>
              <w:rPr>
                <w:rFonts w:ascii="Segoe UI" w:hAnsi="Segoe UI" w:cs="Segoe UI"/>
                <w:color w:val="000000"/>
                <w:sz w:val="24"/>
                <w:szCs w:val="24"/>
              </w:rPr>
              <w:t>?</w:t>
            </w:r>
          </w:p>
          <w:p w14:paraId="7BB09E92" w14:textId="0D5D273D" w:rsidR="00AE7DD4" w:rsidRPr="007B6616" w:rsidRDefault="007B6616" w:rsidP="00856D3F">
            <w:pPr>
              <w:pStyle w:val="ListParagraph"/>
              <w:numPr>
                <w:ilvl w:val="0"/>
                <w:numId w:val="17"/>
              </w:numPr>
              <w:rPr>
                <w:rFonts w:ascii="Segoe UI" w:hAnsi="Segoe UI" w:cs="Segoe UI"/>
                <w:color w:val="000000"/>
                <w:sz w:val="24"/>
                <w:szCs w:val="24"/>
              </w:rPr>
            </w:pPr>
            <w:r>
              <w:rPr>
                <w:rFonts w:ascii="Segoe UI" w:hAnsi="Segoe UI" w:cs="Segoe UI"/>
                <w:color w:val="000000"/>
                <w:sz w:val="24"/>
                <w:szCs w:val="24"/>
              </w:rPr>
              <w:t>L</w:t>
            </w:r>
            <w:r w:rsidR="00AE7DD4" w:rsidRPr="007B6616">
              <w:rPr>
                <w:rFonts w:ascii="Segoe UI" w:hAnsi="Segoe UI" w:cs="Segoe UI"/>
                <w:color w:val="000000"/>
                <w:sz w:val="24"/>
                <w:szCs w:val="24"/>
              </w:rPr>
              <w:t>imited shoreline work would be required under the new PPE/EIS due to the smaller footprint of the project. Please elaborate on details of the dredging so that we can better assess impacts to the environment.</w:t>
            </w:r>
          </w:p>
          <w:p w14:paraId="5058B4FA" w14:textId="77777777"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It is unreasonable to conclude that because the east-west wildlife corridor has survived past fragmentation that wildlife will still be present during/after DNNP project construction. Cumulative effects of multiple activities on site over a long period of time could permanently impact the corridor disrupting connectivity and the surrounding ecosystem.</w:t>
            </w:r>
          </w:p>
          <w:p w14:paraId="1FB7A533" w14:textId="0D7132F1"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 xml:space="preserve">OPG should </w:t>
            </w:r>
            <w:proofErr w:type="gramStart"/>
            <w:r w:rsidRPr="007B6616">
              <w:rPr>
                <w:rFonts w:ascii="Segoe UI" w:hAnsi="Segoe UI" w:cs="Segoe UI"/>
                <w:color w:val="000000"/>
                <w:sz w:val="24"/>
                <w:szCs w:val="24"/>
              </w:rPr>
              <w:t>look into</w:t>
            </w:r>
            <w:proofErr w:type="gramEnd"/>
            <w:r w:rsidRPr="007B6616">
              <w:rPr>
                <w:rFonts w:ascii="Segoe UI" w:hAnsi="Segoe UI" w:cs="Segoe UI"/>
                <w:color w:val="000000"/>
                <w:sz w:val="24"/>
                <w:szCs w:val="24"/>
              </w:rPr>
              <w:t xml:space="preserve"> retaining part of the site for the wildlife </w:t>
            </w:r>
            <w:r w:rsidR="007B6616" w:rsidRPr="007B6616">
              <w:rPr>
                <w:rFonts w:ascii="Segoe UI" w:hAnsi="Segoe UI" w:cs="Segoe UI"/>
                <w:color w:val="000000"/>
                <w:sz w:val="24"/>
                <w:szCs w:val="24"/>
              </w:rPr>
              <w:t>corridor and</w:t>
            </w:r>
            <w:r w:rsidRPr="007B6616">
              <w:rPr>
                <w:rFonts w:ascii="Segoe UI" w:hAnsi="Segoe UI" w:cs="Segoe UI"/>
                <w:color w:val="000000"/>
                <w:sz w:val="24"/>
                <w:szCs w:val="24"/>
              </w:rPr>
              <w:t xml:space="preserve"> keeping some of it fenced off to allow migration throughout the site preparation and construction period.</w:t>
            </w:r>
          </w:p>
          <w:p w14:paraId="597A6372" w14:textId="7E2CD87F"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 xml:space="preserve">What are the environmental risks and mitigation measures of blasting and excavation vs. boring via tunnel machine. Which is less impactful to the environment? </w:t>
            </w:r>
            <w:r w:rsidR="003365A3">
              <w:rPr>
                <w:rFonts w:ascii="Segoe UI" w:hAnsi="Segoe UI" w:cs="Segoe UI"/>
                <w:color w:val="000000"/>
                <w:sz w:val="24"/>
                <w:szCs w:val="24"/>
              </w:rPr>
              <w:t>R</w:t>
            </w:r>
            <w:r w:rsidRPr="007B6616">
              <w:rPr>
                <w:rFonts w:ascii="Segoe UI" w:hAnsi="Segoe UI" w:cs="Segoe UI"/>
                <w:color w:val="000000"/>
                <w:sz w:val="24"/>
                <w:szCs w:val="24"/>
              </w:rPr>
              <w:t>equest to be kept updated on the construction of the intake and discharge pipes offshore.</w:t>
            </w:r>
          </w:p>
          <w:p w14:paraId="2123D779" w14:textId="4914C43D"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Please share the Fish Habitat Compensation Plan for review.</w:t>
            </w:r>
          </w:p>
          <w:p w14:paraId="549FAAEF" w14:textId="77777777"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Does OPG have an approximate number for expected fish losses through impingement and entrainment? This would allow us to understand the comparison between expected losses and Lake Ontario fish populations.</w:t>
            </w:r>
          </w:p>
          <w:p w14:paraId="77FE4A37" w14:textId="5C20C388"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Please update on the status of the wetlands on site and whether they will remain throughout the project. If they will remain, please inform us of the results of the effects assessment. If not, what will OPG do to compensate for the loss?</w:t>
            </w:r>
          </w:p>
          <w:p w14:paraId="2BFACF49" w14:textId="77777777"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 xml:space="preserve">As stated in the EIS report, commencement of the project is occurring approximately 12 years later than the original date. What was the cause of such a significant delay? </w:t>
            </w:r>
          </w:p>
          <w:p w14:paraId="2A2B8F5B" w14:textId="77777777"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In terms of environmental conditions on site, it should be noted that the project delay also allowed significant ecological lands and SAR habitat to thrive and grow, which now must be destroyed.</w:t>
            </w:r>
          </w:p>
          <w:p w14:paraId="71A22534" w14:textId="2602E6A5" w:rsidR="00AE7DD4" w:rsidRPr="007B6616" w:rsidRDefault="007B6616" w:rsidP="00856D3F">
            <w:pPr>
              <w:pStyle w:val="ListParagraph"/>
              <w:numPr>
                <w:ilvl w:val="0"/>
                <w:numId w:val="17"/>
              </w:numPr>
              <w:rPr>
                <w:rFonts w:ascii="Segoe UI" w:hAnsi="Segoe UI" w:cs="Segoe UI"/>
                <w:color w:val="000000"/>
                <w:sz w:val="24"/>
                <w:szCs w:val="24"/>
              </w:rPr>
            </w:pPr>
            <w:r>
              <w:rPr>
                <w:rFonts w:ascii="Segoe UI" w:hAnsi="Segoe UI" w:cs="Segoe UI"/>
                <w:color w:val="000000"/>
                <w:sz w:val="24"/>
                <w:szCs w:val="24"/>
              </w:rPr>
              <w:t xml:space="preserve">Comments were </w:t>
            </w:r>
            <w:r w:rsidR="00AE7DD4" w:rsidRPr="007B6616">
              <w:rPr>
                <w:rFonts w:ascii="Segoe UI" w:hAnsi="Segoe UI" w:cs="Segoe UI"/>
                <w:color w:val="000000"/>
                <w:sz w:val="24"/>
                <w:szCs w:val="24"/>
              </w:rPr>
              <w:t xml:space="preserve">submitted to OPG and the ERO regarding OPG’s Endangered Species Act (ESA) Permit for the DNNP project site preparation. </w:t>
            </w:r>
            <w:r w:rsidR="003365A3">
              <w:rPr>
                <w:rFonts w:ascii="Segoe UI" w:hAnsi="Segoe UI" w:cs="Segoe UI"/>
                <w:color w:val="000000"/>
                <w:sz w:val="24"/>
                <w:szCs w:val="24"/>
              </w:rPr>
              <w:t>C</w:t>
            </w:r>
            <w:r w:rsidR="00AE7DD4" w:rsidRPr="007B6616">
              <w:rPr>
                <w:rFonts w:ascii="Segoe UI" w:hAnsi="Segoe UI" w:cs="Segoe UI"/>
                <w:color w:val="000000"/>
                <w:sz w:val="24"/>
                <w:szCs w:val="24"/>
              </w:rPr>
              <w:t>oncern</w:t>
            </w:r>
            <w:r w:rsidR="003365A3">
              <w:rPr>
                <w:rFonts w:ascii="Segoe UI" w:hAnsi="Segoe UI" w:cs="Segoe UI"/>
                <w:color w:val="000000"/>
                <w:sz w:val="24"/>
                <w:szCs w:val="24"/>
              </w:rPr>
              <w:t xml:space="preserve"> raised</w:t>
            </w:r>
            <w:r w:rsidR="00AE7DD4" w:rsidRPr="007B6616">
              <w:rPr>
                <w:rFonts w:ascii="Segoe UI" w:hAnsi="Segoe UI" w:cs="Segoe UI"/>
                <w:color w:val="000000"/>
                <w:sz w:val="24"/>
                <w:szCs w:val="24"/>
              </w:rPr>
              <w:t xml:space="preserve"> regarding the lack of guarantee for long-term protection of the SAR habitat on site. </w:t>
            </w:r>
            <w:r>
              <w:rPr>
                <w:rFonts w:ascii="Segoe UI" w:hAnsi="Segoe UI" w:cs="Segoe UI"/>
                <w:color w:val="000000"/>
                <w:sz w:val="24"/>
                <w:szCs w:val="24"/>
              </w:rPr>
              <w:t xml:space="preserve">A </w:t>
            </w:r>
            <w:r w:rsidR="00AE7DD4" w:rsidRPr="007B6616">
              <w:rPr>
                <w:rFonts w:ascii="Segoe UI" w:hAnsi="Segoe UI" w:cs="Segoe UI"/>
                <w:color w:val="000000"/>
                <w:sz w:val="24"/>
                <w:szCs w:val="24"/>
              </w:rPr>
              <w:t>request</w:t>
            </w:r>
            <w:r>
              <w:rPr>
                <w:rFonts w:ascii="Segoe UI" w:hAnsi="Segoe UI" w:cs="Segoe UI"/>
                <w:color w:val="000000"/>
                <w:sz w:val="24"/>
                <w:szCs w:val="24"/>
              </w:rPr>
              <w:t xml:space="preserve"> for </w:t>
            </w:r>
            <w:r w:rsidR="00AE7DD4" w:rsidRPr="007B6616">
              <w:rPr>
                <w:rFonts w:ascii="Segoe UI" w:hAnsi="Segoe UI" w:cs="Segoe UI"/>
                <w:color w:val="000000"/>
                <w:sz w:val="24"/>
                <w:szCs w:val="24"/>
              </w:rPr>
              <w:t xml:space="preserve">a conservation easement or restrictive covenant be placed on the created SAR habitat to ensure it is not destroyed during further site prep for reactors 2-4. </w:t>
            </w:r>
            <w:r>
              <w:rPr>
                <w:rFonts w:ascii="Segoe UI" w:hAnsi="Segoe UI" w:cs="Segoe UI"/>
                <w:color w:val="000000"/>
                <w:sz w:val="24"/>
                <w:szCs w:val="24"/>
              </w:rPr>
              <w:t xml:space="preserve">It was </w:t>
            </w:r>
            <w:r w:rsidR="00AE7DD4" w:rsidRPr="007B6616">
              <w:rPr>
                <w:rFonts w:ascii="Segoe UI" w:hAnsi="Segoe UI" w:cs="Segoe UI"/>
                <w:color w:val="000000"/>
                <w:sz w:val="24"/>
                <w:szCs w:val="24"/>
              </w:rPr>
              <w:t xml:space="preserve">suggested </w:t>
            </w:r>
            <w:r>
              <w:rPr>
                <w:rFonts w:ascii="Segoe UI" w:hAnsi="Segoe UI" w:cs="Segoe UI"/>
                <w:color w:val="000000"/>
                <w:sz w:val="24"/>
                <w:szCs w:val="24"/>
              </w:rPr>
              <w:t xml:space="preserve">that </w:t>
            </w:r>
            <w:r w:rsidR="00AE7DD4" w:rsidRPr="007B6616">
              <w:rPr>
                <w:rFonts w:ascii="Segoe UI" w:hAnsi="Segoe UI" w:cs="Segoe UI"/>
                <w:color w:val="000000"/>
                <w:sz w:val="24"/>
                <w:szCs w:val="24"/>
              </w:rPr>
              <w:t>an off-site ecological restoration fund as an alternative, but OPG was unwilling to accommodate either request.</w:t>
            </w:r>
          </w:p>
          <w:p w14:paraId="78DF46DA" w14:textId="6E0CA5BF" w:rsidR="00AE7DD4" w:rsidRPr="007B6616" w:rsidRDefault="007B6616" w:rsidP="00856D3F">
            <w:pPr>
              <w:pStyle w:val="ListParagraph"/>
              <w:numPr>
                <w:ilvl w:val="0"/>
                <w:numId w:val="17"/>
              </w:numPr>
              <w:rPr>
                <w:rFonts w:ascii="Segoe UI" w:hAnsi="Segoe UI" w:cs="Segoe UI"/>
                <w:color w:val="000000"/>
                <w:sz w:val="24"/>
                <w:szCs w:val="24"/>
              </w:rPr>
            </w:pPr>
            <w:r>
              <w:rPr>
                <w:rFonts w:ascii="Segoe UI" w:hAnsi="Segoe UI" w:cs="Segoe UI"/>
                <w:color w:val="000000"/>
                <w:sz w:val="24"/>
                <w:szCs w:val="24"/>
              </w:rPr>
              <w:t>R</w:t>
            </w:r>
            <w:r w:rsidR="00AE7DD4" w:rsidRPr="007B6616">
              <w:rPr>
                <w:rFonts w:ascii="Segoe UI" w:hAnsi="Segoe UI" w:cs="Segoe UI"/>
                <w:color w:val="000000"/>
                <w:sz w:val="24"/>
                <w:szCs w:val="24"/>
              </w:rPr>
              <w:t xml:space="preserve">equests </w:t>
            </w:r>
            <w:r>
              <w:rPr>
                <w:rFonts w:ascii="Segoe UI" w:hAnsi="Segoe UI" w:cs="Segoe UI"/>
                <w:color w:val="000000"/>
                <w:sz w:val="24"/>
                <w:szCs w:val="24"/>
              </w:rPr>
              <w:t xml:space="preserve">are considered </w:t>
            </w:r>
            <w:r w:rsidR="009D7B56" w:rsidRPr="007B6616">
              <w:rPr>
                <w:rFonts w:ascii="Segoe UI" w:hAnsi="Segoe UI" w:cs="Segoe UI"/>
                <w:color w:val="000000"/>
                <w:sz w:val="24"/>
                <w:szCs w:val="24"/>
              </w:rPr>
              <w:t>feasible;</w:t>
            </w:r>
            <w:r w:rsidR="00AE7DD4" w:rsidRPr="007B6616">
              <w:rPr>
                <w:rFonts w:ascii="Segoe UI" w:hAnsi="Segoe UI" w:cs="Segoe UI"/>
                <w:color w:val="000000"/>
                <w:sz w:val="24"/>
                <w:szCs w:val="24"/>
              </w:rPr>
              <w:t xml:space="preserve"> </w:t>
            </w:r>
            <w:r w:rsidR="009D7B56" w:rsidRPr="007B6616">
              <w:rPr>
                <w:rFonts w:ascii="Segoe UI" w:hAnsi="Segoe UI" w:cs="Segoe UI"/>
                <w:color w:val="000000"/>
                <w:sz w:val="24"/>
                <w:szCs w:val="24"/>
              </w:rPr>
              <w:t>therefore,</w:t>
            </w:r>
            <w:r w:rsidR="00AE7DD4" w:rsidRPr="007B6616">
              <w:rPr>
                <w:rFonts w:ascii="Segoe UI" w:hAnsi="Segoe UI" w:cs="Segoe UI"/>
                <w:color w:val="000000"/>
                <w:sz w:val="24"/>
                <w:szCs w:val="24"/>
              </w:rPr>
              <w:t xml:space="preserve"> it is not fair to say that “OPG endeavors to achieve feasible mitigation measures and/or accommodation”.</w:t>
            </w:r>
          </w:p>
          <w:p w14:paraId="56D97E86" w14:textId="77777777"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Is OPG not planning to impact the bank where the remaining swallows live as part of site prep? Given that bank swallow burrow counts have already been decreasing on site, is OPG able to relocate the SAR habitat or create habitat elsewhere for the species?</w:t>
            </w:r>
          </w:p>
          <w:p w14:paraId="4FAE651B" w14:textId="77777777"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Later site preparation activities are likely to destroy the newly created SAR habitat on site as the remaining reactors are constructed and the Project footprint grows. Please explain how OPG plans to maintain protection of the natural features created to satisfy their ESA permit as the project proceeds.</w:t>
            </w:r>
          </w:p>
          <w:p w14:paraId="55AE5DEA" w14:textId="49B130FB"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 xml:space="preserve">Please explain how there is no further concern for the fish species if entrainment of Deepwater Sculpin has been identified recently on site? What does OPG mean by “fish protection measures will be taken if needed at the intake structures”? </w:t>
            </w:r>
            <w:r w:rsidR="007B6616">
              <w:rPr>
                <w:rFonts w:ascii="Segoe UI" w:hAnsi="Segoe UI" w:cs="Segoe UI"/>
                <w:color w:val="000000"/>
                <w:sz w:val="24"/>
                <w:szCs w:val="24"/>
              </w:rPr>
              <w:t>Re</w:t>
            </w:r>
            <w:r w:rsidRPr="007B6616">
              <w:rPr>
                <w:rFonts w:ascii="Segoe UI" w:hAnsi="Segoe UI" w:cs="Segoe UI"/>
                <w:color w:val="000000"/>
                <w:sz w:val="24"/>
                <w:szCs w:val="24"/>
              </w:rPr>
              <w:t>quests that fish protection measures be taken at the intake structures regardless of prevalence of SAR or other factors.</w:t>
            </w:r>
          </w:p>
          <w:p w14:paraId="689DD6E9" w14:textId="602ECB17"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See previous comment re. Bank Swallow. The plan is for 4 reactors to be constructed on site, and various site preparations are being undertaken that fit this scope (</w:t>
            </w:r>
            <w:r w:rsidR="009D7B56" w:rsidRPr="007B6616">
              <w:rPr>
                <w:rFonts w:ascii="Segoe UI" w:hAnsi="Segoe UI" w:cs="Segoe UI"/>
                <w:color w:val="000000"/>
                <w:sz w:val="24"/>
                <w:szCs w:val="24"/>
              </w:rPr>
              <w:t>i.e.,</w:t>
            </w:r>
            <w:r w:rsidRPr="007B6616">
              <w:rPr>
                <w:rFonts w:ascii="Segoe UI" w:hAnsi="Segoe UI" w:cs="Segoe UI"/>
                <w:color w:val="000000"/>
                <w:sz w:val="24"/>
                <w:szCs w:val="24"/>
              </w:rPr>
              <w:t xml:space="preserve"> water intake structures are being built to handle 4 reactors). Why does the EIS suggest that this may not happen, and that the SAR</w:t>
            </w:r>
            <w:r w:rsidRPr="007B6616">
              <w:rPr>
                <w:rFonts w:ascii="Segoe UI" w:hAnsi="Segoe UI" w:cs="Segoe UI"/>
                <w:color w:val="000000"/>
                <w:sz w:val="24"/>
                <w:szCs w:val="24"/>
              </w:rPr>
              <w:br/>
              <w:t>habitat may be retained? It seems highly unlikely that the bank swallow habitat will remain if the project proceeds as planned.</w:t>
            </w:r>
          </w:p>
          <w:p w14:paraId="3C125445" w14:textId="77777777" w:rsidR="00AE7DD4" w:rsidRPr="007B6616" w:rsidRDefault="00AE7DD4" w:rsidP="00856D3F">
            <w:pPr>
              <w:pStyle w:val="ListParagraph"/>
              <w:numPr>
                <w:ilvl w:val="0"/>
                <w:numId w:val="17"/>
              </w:numPr>
              <w:rPr>
                <w:rFonts w:ascii="Segoe UI" w:hAnsi="Segoe UI" w:cs="Segoe UI"/>
                <w:color w:val="000000"/>
                <w:sz w:val="24"/>
                <w:szCs w:val="24"/>
              </w:rPr>
            </w:pPr>
            <w:r w:rsidRPr="007B6616">
              <w:rPr>
                <w:rFonts w:ascii="Segoe UI" w:hAnsi="Segoe UI" w:cs="Segoe UI"/>
                <w:color w:val="000000"/>
                <w:sz w:val="24"/>
                <w:szCs w:val="24"/>
              </w:rPr>
              <w:t>Will OPG be creating any beneficial actions or offsetting as they are likely to impact these two SAR species? Will DFO Authorizations be required?</w:t>
            </w:r>
          </w:p>
          <w:p w14:paraId="5ED4461E" w14:textId="0380B753" w:rsidR="00AE7DD4" w:rsidRPr="007B6616" w:rsidRDefault="007B6616" w:rsidP="00856D3F">
            <w:pPr>
              <w:pStyle w:val="ListParagraph"/>
              <w:numPr>
                <w:ilvl w:val="0"/>
                <w:numId w:val="17"/>
              </w:numPr>
              <w:rPr>
                <w:rFonts w:ascii="Segoe UI" w:hAnsi="Segoe UI" w:cs="Segoe UI"/>
                <w:b/>
                <w:bCs/>
                <w:sz w:val="24"/>
                <w:szCs w:val="24"/>
              </w:rPr>
            </w:pPr>
            <w:r>
              <w:rPr>
                <w:rFonts w:ascii="Segoe UI" w:hAnsi="Segoe UI" w:cs="Segoe UI"/>
                <w:color w:val="000000"/>
                <w:sz w:val="24"/>
                <w:szCs w:val="24"/>
              </w:rPr>
              <w:t>Question a</w:t>
            </w:r>
            <w:r w:rsidR="00AE7DD4" w:rsidRPr="007B6616">
              <w:rPr>
                <w:rFonts w:ascii="Segoe UI" w:hAnsi="Segoe UI" w:cs="Segoe UI"/>
                <w:color w:val="000000"/>
                <w:sz w:val="24"/>
                <w:szCs w:val="24"/>
              </w:rPr>
              <w:t xml:space="preserve">bout potential impacts from DNNP caused from warm water entering Lake Ontario. </w:t>
            </w:r>
            <w:r w:rsidR="003365A3">
              <w:rPr>
                <w:rFonts w:ascii="Segoe UI" w:hAnsi="Segoe UI" w:cs="Segoe UI"/>
                <w:color w:val="000000"/>
                <w:sz w:val="24"/>
                <w:szCs w:val="24"/>
              </w:rPr>
              <w:t xml:space="preserve">Were </w:t>
            </w:r>
            <w:r w:rsidR="00AE7DD4" w:rsidRPr="007B6616">
              <w:rPr>
                <w:rFonts w:ascii="Segoe UI" w:hAnsi="Segoe UI" w:cs="Segoe UI"/>
                <w:color w:val="000000"/>
                <w:sz w:val="24"/>
                <w:szCs w:val="24"/>
              </w:rPr>
              <w:t>the impacts resulting from a thermal plume was included in the EIS and what considerations were included (</w:t>
            </w:r>
            <w:r w:rsidR="009D7B56" w:rsidRPr="007B6616">
              <w:rPr>
                <w:rFonts w:ascii="Segoe UI" w:hAnsi="Segoe UI" w:cs="Segoe UI"/>
                <w:color w:val="000000"/>
                <w:sz w:val="24"/>
                <w:szCs w:val="24"/>
              </w:rPr>
              <w:t>i.e.,</w:t>
            </w:r>
            <w:r w:rsidR="00AE7DD4" w:rsidRPr="007B6616">
              <w:rPr>
                <w:rFonts w:ascii="Segoe UI" w:hAnsi="Segoe UI" w:cs="Segoe UI"/>
                <w:color w:val="000000"/>
                <w:sz w:val="24"/>
                <w:szCs w:val="24"/>
              </w:rPr>
              <w:t xml:space="preserve"> algal growth, climate change).</w:t>
            </w:r>
          </w:p>
        </w:tc>
      </w:tr>
      <w:tr w:rsidR="00AE7DD4" w:rsidRPr="007B6616" w14:paraId="4B92DACF" w14:textId="77777777" w:rsidTr="007B6616">
        <w:tc>
          <w:tcPr>
            <w:tcW w:w="2830" w:type="dxa"/>
          </w:tcPr>
          <w:p w14:paraId="47819DF4" w14:textId="33AB47FB"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Environmental Effects</w:t>
            </w:r>
          </w:p>
        </w:tc>
        <w:tc>
          <w:tcPr>
            <w:tcW w:w="6520" w:type="dxa"/>
          </w:tcPr>
          <w:p w14:paraId="15AB6A06" w14:textId="601FAE6E" w:rsidR="00AE7DD4" w:rsidRPr="007B6616" w:rsidRDefault="00AE7DD4" w:rsidP="00856D3F">
            <w:pPr>
              <w:pStyle w:val="ListParagraph"/>
              <w:numPr>
                <w:ilvl w:val="0"/>
                <w:numId w:val="18"/>
              </w:numPr>
              <w:rPr>
                <w:rFonts w:ascii="Segoe UI" w:hAnsi="Segoe UI" w:cs="Segoe UI"/>
                <w:color w:val="000000"/>
                <w:sz w:val="24"/>
                <w:szCs w:val="24"/>
              </w:rPr>
            </w:pPr>
            <w:r w:rsidRPr="007B6616">
              <w:rPr>
                <w:rFonts w:ascii="Segoe UI" w:hAnsi="Segoe UI" w:cs="Segoe UI"/>
                <w:color w:val="000000"/>
                <w:sz w:val="24"/>
                <w:szCs w:val="24"/>
              </w:rPr>
              <w:t>Table 1 identifies a very significant difference between the BWRX-300 and any other reactor designs considered in the 2009 EIS, that being that the reactor structure will penetrate 38 metres below ground level; this very important difference is given minimal treatment, and there is not enough information provided to fully evaluate, or to have confidence that OPG or their consultants have adequately evaluated the potential environmental consequences, including but limited to migration of radio-contaminants from the sub-surface structure to surrounding groundwater and potentially reporting to surface water; for example, there is no description of how monitoring will be undertaken or what mitigation measures might be employed; noted that there is a very brief (but inadequate) description in Section 4.1.2 and again in 5.2.2 where the potential for an effect on groundwater flow was identified as not having been considered in the 2009 EIS but this statement is not followed by any substantive discussion.</w:t>
            </w:r>
          </w:p>
          <w:p w14:paraId="52957ABF" w14:textId="77777777" w:rsidR="00AE7DD4" w:rsidRPr="007B6616" w:rsidRDefault="00AE7DD4" w:rsidP="00C54C0E">
            <w:pPr>
              <w:pStyle w:val="ListParagraph"/>
              <w:ind w:left="0"/>
              <w:rPr>
                <w:rFonts w:ascii="Segoe UI" w:hAnsi="Segoe UI" w:cs="Segoe UI"/>
                <w:b/>
                <w:bCs/>
                <w:sz w:val="24"/>
                <w:szCs w:val="24"/>
              </w:rPr>
            </w:pPr>
          </w:p>
        </w:tc>
      </w:tr>
      <w:tr w:rsidR="00AE7DD4" w:rsidRPr="007B6616" w14:paraId="3D6E3F2B" w14:textId="77777777" w:rsidTr="007B6616">
        <w:tc>
          <w:tcPr>
            <w:tcW w:w="2830" w:type="dxa"/>
          </w:tcPr>
          <w:p w14:paraId="50030E3D" w14:textId="3E565E44"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Further Studies</w:t>
            </w:r>
          </w:p>
        </w:tc>
        <w:tc>
          <w:tcPr>
            <w:tcW w:w="6520" w:type="dxa"/>
          </w:tcPr>
          <w:p w14:paraId="2046210A" w14:textId="6BF2107D" w:rsidR="00AE7DD4" w:rsidRPr="007B6616" w:rsidRDefault="007B6616" w:rsidP="00856D3F">
            <w:pPr>
              <w:pStyle w:val="ListParagraph"/>
              <w:numPr>
                <w:ilvl w:val="0"/>
                <w:numId w:val="18"/>
              </w:numPr>
              <w:rPr>
                <w:rFonts w:ascii="Segoe UI" w:hAnsi="Segoe UI" w:cs="Segoe UI"/>
                <w:b/>
                <w:bCs/>
                <w:sz w:val="24"/>
                <w:szCs w:val="24"/>
              </w:rPr>
            </w:pPr>
            <w:r>
              <w:rPr>
                <w:rFonts w:ascii="Segoe UI" w:hAnsi="Segoe UI" w:cs="Segoe UI"/>
                <w:color w:val="000000"/>
                <w:sz w:val="24"/>
                <w:szCs w:val="24"/>
              </w:rPr>
              <w:t>Has th</w:t>
            </w:r>
            <w:r w:rsidR="00AE7DD4" w:rsidRPr="007B6616">
              <w:rPr>
                <w:rFonts w:ascii="Segoe UI" w:hAnsi="Segoe UI" w:cs="Segoe UI"/>
                <w:color w:val="000000"/>
                <w:sz w:val="24"/>
                <w:szCs w:val="24"/>
              </w:rPr>
              <w:t>e CNSC has done any studies on the lake water, water quality and fish consumption</w:t>
            </w:r>
            <w:r>
              <w:rPr>
                <w:rFonts w:ascii="Segoe UI" w:hAnsi="Segoe UI" w:cs="Segoe UI"/>
                <w:color w:val="000000"/>
                <w:sz w:val="24"/>
                <w:szCs w:val="24"/>
              </w:rPr>
              <w:t>?</w:t>
            </w:r>
          </w:p>
        </w:tc>
      </w:tr>
      <w:tr w:rsidR="00AE7DD4" w:rsidRPr="007B6616" w14:paraId="026DF2CE" w14:textId="77777777" w:rsidTr="007B6616">
        <w:tc>
          <w:tcPr>
            <w:tcW w:w="2830" w:type="dxa"/>
          </w:tcPr>
          <w:p w14:paraId="6B2CBE5E"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Environmental Risk Assessment</w:t>
            </w:r>
          </w:p>
          <w:p w14:paraId="68F2E1FF" w14:textId="77777777" w:rsidR="00AE7DD4" w:rsidRPr="007B6616" w:rsidRDefault="00AE7DD4" w:rsidP="00C54C0E">
            <w:pPr>
              <w:pStyle w:val="ListParagraph"/>
              <w:ind w:left="0"/>
              <w:rPr>
                <w:rFonts w:ascii="Segoe UI" w:hAnsi="Segoe UI" w:cs="Segoe UI"/>
                <w:sz w:val="24"/>
                <w:szCs w:val="24"/>
                <w:lang w:val="en-US"/>
              </w:rPr>
            </w:pPr>
          </w:p>
          <w:p w14:paraId="28BB9D65" w14:textId="77777777" w:rsidR="00AE7DD4" w:rsidRPr="007B6616" w:rsidRDefault="00AE7DD4" w:rsidP="00C54C0E">
            <w:pPr>
              <w:pStyle w:val="ListParagraph"/>
              <w:ind w:left="0"/>
              <w:rPr>
                <w:rFonts w:ascii="Segoe UI" w:hAnsi="Segoe UI" w:cs="Segoe UI"/>
                <w:sz w:val="24"/>
                <w:szCs w:val="24"/>
                <w:lang w:val="en-US"/>
              </w:rPr>
            </w:pPr>
          </w:p>
          <w:p w14:paraId="3D32E0D8" w14:textId="77777777" w:rsidR="00AE7DD4" w:rsidRPr="007B6616" w:rsidRDefault="00AE7DD4" w:rsidP="00C54C0E">
            <w:pPr>
              <w:pStyle w:val="ListParagraph"/>
              <w:ind w:left="0"/>
              <w:rPr>
                <w:rFonts w:ascii="Segoe UI" w:hAnsi="Segoe UI" w:cs="Segoe UI"/>
                <w:sz w:val="24"/>
                <w:szCs w:val="24"/>
                <w:lang w:val="en-US"/>
              </w:rPr>
            </w:pPr>
          </w:p>
          <w:p w14:paraId="6EE56C53" w14:textId="77777777" w:rsidR="00AE7DD4" w:rsidRPr="007B6616" w:rsidRDefault="00AE7DD4" w:rsidP="00C54C0E">
            <w:pPr>
              <w:pStyle w:val="ListParagraph"/>
              <w:ind w:left="0"/>
              <w:rPr>
                <w:rFonts w:ascii="Segoe UI" w:hAnsi="Segoe UI" w:cs="Segoe UI"/>
                <w:sz w:val="24"/>
                <w:szCs w:val="24"/>
                <w:lang w:val="en-US"/>
              </w:rPr>
            </w:pPr>
          </w:p>
          <w:p w14:paraId="3D077C93" w14:textId="77777777" w:rsidR="00AE7DD4" w:rsidRPr="007B6616" w:rsidRDefault="00AE7DD4" w:rsidP="00C54C0E">
            <w:pPr>
              <w:pStyle w:val="ListParagraph"/>
              <w:ind w:left="0"/>
              <w:rPr>
                <w:rFonts w:ascii="Segoe UI" w:hAnsi="Segoe UI" w:cs="Segoe UI"/>
                <w:sz w:val="24"/>
                <w:szCs w:val="24"/>
                <w:lang w:val="en-US"/>
              </w:rPr>
            </w:pPr>
          </w:p>
          <w:p w14:paraId="162A5C83" w14:textId="77777777" w:rsidR="00AE7DD4" w:rsidRPr="007B6616" w:rsidRDefault="00AE7DD4" w:rsidP="00C54C0E">
            <w:pPr>
              <w:pStyle w:val="ListParagraph"/>
              <w:ind w:left="0"/>
              <w:rPr>
                <w:rFonts w:ascii="Segoe UI" w:hAnsi="Segoe UI" w:cs="Segoe UI"/>
                <w:sz w:val="24"/>
                <w:szCs w:val="24"/>
                <w:lang w:val="en-US"/>
              </w:rPr>
            </w:pPr>
          </w:p>
          <w:p w14:paraId="174F102C" w14:textId="77777777" w:rsidR="00AE7DD4" w:rsidRPr="007B6616" w:rsidRDefault="00AE7DD4" w:rsidP="00C54C0E">
            <w:pPr>
              <w:pStyle w:val="ListParagraph"/>
              <w:ind w:left="0"/>
              <w:rPr>
                <w:rFonts w:ascii="Segoe UI" w:hAnsi="Segoe UI" w:cs="Segoe UI"/>
                <w:sz w:val="24"/>
                <w:szCs w:val="24"/>
                <w:lang w:val="en-US"/>
              </w:rPr>
            </w:pPr>
          </w:p>
          <w:p w14:paraId="6D3FABD8" w14:textId="77777777" w:rsidR="00AE7DD4" w:rsidRPr="007B6616" w:rsidRDefault="00AE7DD4" w:rsidP="00C54C0E">
            <w:pPr>
              <w:pStyle w:val="ListParagraph"/>
              <w:ind w:left="0"/>
              <w:rPr>
                <w:rFonts w:ascii="Segoe UI" w:hAnsi="Segoe UI" w:cs="Segoe UI"/>
                <w:sz w:val="24"/>
                <w:szCs w:val="24"/>
                <w:lang w:val="en-US"/>
              </w:rPr>
            </w:pPr>
          </w:p>
          <w:p w14:paraId="10066CF2" w14:textId="77777777" w:rsidR="00AE7DD4" w:rsidRPr="007B6616" w:rsidRDefault="00AE7DD4" w:rsidP="00C54C0E">
            <w:pPr>
              <w:pStyle w:val="ListParagraph"/>
              <w:ind w:left="0"/>
              <w:rPr>
                <w:rFonts w:ascii="Segoe UI" w:hAnsi="Segoe UI" w:cs="Segoe UI"/>
                <w:sz w:val="24"/>
                <w:szCs w:val="24"/>
                <w:lang w:val="en-US"/>
              </w:rPr>
            </w:pPr>
          </w:p>
          <w:p w14:paraId="2A169551" w14:textId="77777777" w:rsidR="00AE7DD4" w:rsidRPr="007B6616" w:rsidRDefault="00AE7DD4" w:rsidP="00C54C0E">
            <w:pPr>
              <w:pStyle w:val="ListParagraph"/>
              <w:ind w:left="0"/>
              <w:rPr>
                <w:rFonts w:ascii="Segoe UI" w:hAnsi="Segoe UI" w:cs="Segoe UI"/>
                <w:sz w:val="24"/>
                <w:szCs w:val="24"/>
                <w:lang w:val="en-US"/>
              </w:rPr>
            </w:pPr>
          </w:p>
          <w:p w14:paraId="098F1E3C" w14:textId="77777777" w:rsidR="00AE7DD4" w:rsidRPr="007B6616" w:rsidRDefault="00AE7DD4" w:rsidP="00C54C0E">
            <w:pPr>
              <w:pStyle w:val="ListParagraph"/>
              <w:ind w:left="0"/>
              <w:rPr>
                <w:rFonts w:ascii="Segoe UI" w:hAnsi="Segoe UI" w:cs="Segoe UI"/>
                <w:sz w:val="24"/>
                <w:szCs w:val="24"/>
                <w:lang w:val="en-US"/>
              </w:rPr>
            </w:pPr>
          </w:p>
          <w:p w14:paraId="379500A9" w14:textId="77777777" w:rsidR="00AE7DD4" w:rsidRPr="007B6616" w:rsidRDefault="00AE7DD4" w:rsidP="00C54C0E">
            <w:pPr>
              <w:pStyle w:val="ListParagraph"/>
              <w:ind w:left="0"/>
              <w:rPr>
                <w:rFonts w:ascii="Segoe UI" w:hAnsi="Segoe UI" w:cs="Segoe UI"/>
                <w:sz w:val="24"/>
                <w:szCs w:val="24"/>
                <w:lang w:val="en-US"/>
              </w:rPr>
            </w:pPr>
          </w:p>
          <w:p w14:paraId="4876BEC5" w14:textId="77777777" w:rsidR="00AE7DD4" w:rsidRPr="007B6616" w:rsidRDefault="00AE7DD4" w:rsidP="00C54C0E">
            <w:pPr>
              <w:pStyle w:val="ListParagraph"/>
              <w:ind w:left="0"/>
              <w:rPr>
                <w:rFonts w:ascii="Segoe UI" w:hAnsi="Segoe UI" w:cs="Segoe UI"/>
                <w:sz w:val="24"/>
                <w:szCs w:val="24"/>
                <w:lang w:val="en-US"/>
              </w:rPr>
            </w:pPr>
          </w:p>
          <w:p w14:paraId="14B77CFC" w14:textId="77777777" w:rsidR="00AE7DD4" w:rsidRPr="007B6616" w:rsidRDefault="00AE7DD4" w:rsidP="00C54C0E">
            <w:pPr>
              <w:pStyle w:val="ListParagraph"/>
              <w:ind w:left="0"/>
              <w:rPr>
                <w:rFonts w:ascii="Segoe UI" w:hAnsi="Segoe UI" w:cs="Segoe UI"/>
                <w:sz w:val="24"/>
                <w:szCs w:val="24"/>
                <w:lang w:val="en-US"/>
              </w:rPr>
            </w:pPr>
          </w:p>
          <w:p w14:paraId="37367F89" w14:textId="77777777" w:rsidR="00AE7DD4" w:rsidRPr="007B6616" w:rsidRDefault="00AE7DD4" w:rsidP="00C54C0E">
            <w:pPr>
              <w:pStyle w:val="ListParagraph"/>
              <w:ind w:left="0"/>
              <w:rPr>
                <w:rFonts w:ascii="Segoe UI" w:hAnsi="Segoe UI" w:cs="Segoe UI"/>
                <w:sz w:val="24"/>
                <w:szCs w:val="24"/>
                <w:lang w:val="en-US"/>
              </w:rPr>
            </w:pPr>
          </w:p>
          <w:p w14:paraId="40541090" w14:textId="77777777" w:rsidR="00AE7DD4" w:rsidRPr="007B6616" w:rsidRDefault="00AE7DD4" w:rsidP="00C54C0E">
            <w:pPr>
              <w:pStyle w:val="ListParagraph"/>
              <w:ind w:left="0"/>
              <w:rPr>
                <w:rFonts w:ascii="Segoe UI" w:hAnsi="Segoe UI" w:cs="Segoe UI"/>
                <w:sz w:val="24"/>
                <w:szCs w:val="24"/>
                <w:lang w:val="en-US"/>
              </w:rPr>
            </w:pPr>
          </w:p>
          <w:p w14:paraId="11B3F2A2" w14:textId="77777777" w:rsidR="00AE7DD4" w:rsidRPr="007B6616" w:rsidRDefault="00AE7DD4" w:rsidP="00C54C0E">
            <w:pPr>
              <w:pStyle w:val="ListParagraph"/>
              <w:ind w:left="0"/>
              <w:rPr>
                <w:rFonts w:ascii="Segoe UI" w:hAnsi="Segoe UI" w:cs="Segoe UI"/>
                <w:sz w:val="24"/>
                <w:szCs w:val="24"/>
                <w:lang w:val="en-US"/>
              </w:rPr>
            </w:pPr>
          </w:p>
          <w:p w14:paraId="41F083B0" w14:textId="77777777" w:rsidR="00AE7DD4" w:rsidRPr="007B6616" w:rsidRDefault="00AE7DD4" w:rsidP="00C54C0E">
            <w:pPr>
              <w:pStyle w:val="ListParagraph"/>
              <w:ind w:left="0"/>
              <w:rPr>
                <w:rFonts w:ascii="Segoe UI" w:hAnsi="Segoe UI" w:cs="Segoe UI"/>
                <w:sz w:val="24"/>
                <w:szCs w:val="24"/>
                <w:lang w:val="en-US"/>
              </w:rPr>
            </w:pPr>
          </w:p>
          <w:p w14:paraId="5FB0257B" w14:textId="77777777" w:rsidR="00AE7DD4" w:rsidRPr="007B6616" w:rsidRDefault="00AE7DD4" w:rsidP="00C54C0E">
            <w:pPr>
              <w:pStyle w:val="ListParagraph"/>
              <w:ind w:left="0"/>
              <w:rPr>
                <w:rFonts w:ascii="Segoe UI" w:hAnsi="Segoe UI" w:cs="Segoe UI"/>
                <w:sz w:val="24"/>
                <w:szCs w:val="24"/>
                <w:lang w:val="en-US"/>
              </w:rPr>
            </w:pPr>
          </w:p>
          <w:p w14:paraId="710A22E1" w14:textId="5E18764E"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Mitigation Measures</w:t>
            </w:r>
          </w:p>
        </w:tc>
        <w:tc>
          <w:tcPr>
            <w:tcW w:w="6520" w:type="dxa"/>
          </w:tcPr>
          <w:p w14:paraId="135535E7" w14:textId="77777777" w:rsidR="00AE7DD4" w:rsidRPr="007B6616" w:rsidRDefault="00AE7DD4" w:rsidP="00856D3F">
            <w:pPr>
              <w:pStyle w:val="ListParagraph"/>
              <w:numPr>
                <w:ilvl w:val="0"/>
                <w:numId w:val="18"/>
              </w:numPr>
              <w:rPr>
                <w:rFonts w:ascii="Segoe UI" w:hAnsi="Segoe UI" w:cs="Segoe UI"/>
                <w:color w:val="000000"/>
                <w:sz w:val="24"/>
                <w:szCs w:val="24"/>
              </w:rPr>
            </w:pPr>
            <w:r w:rsidRPr="007B6616">
              <w:rPr>
                <w:rFonts w:ascii="Segoe UI" w:hAnsi="Segoe UI" w:cs="Segoe UI"/>
                <w:color w:val="000000"/>
                <w:sz w:val="24"/>
                <w:szCs w:val="24"/>
              </w:rPr>
              <w:t xml:space="preserve">It was noted that the panel stated that a new environmental assessment would not be required if the selected reactor technology is not fundamentally different from those used for the plant parameter envelope. </w:t>
            </w:r>
          </w:p>
          <w:p w14:paraId="347A804F" w14:textId="77777777" w:rsidR="00AE7DD4" w:rsidRPr="007B6616" w:rsidRDefault="00AE7DD4" w:rsidP="00856D3F">
            <w:pPr>
              <w:pStyle w:val="ListParagraph"/>
              <w:numPr>
                <w:ilvl w:val="0"/>
                <w:numId w:val="18"/>
              </w:numPr>
              <w:rPr>
                <w:rFonts w:ascii="Segoe UI" w:hAnsi="Segoe UI" w:cs="Segoe UI"/>
                <w:color w:val="000000"/>
                <w:sz w:val="24"/>
                <w:szCs w:val="24"/>
              </w:rPr>
            </w:pPr>
            <w:r w:rsidRPr="007B6616">
              <w:rPr>
                <w:rFonts w:ascii="Segoe UI" w:hAnsi="Segoe UI" w:cs="Segoe UI"/>
                <w:color w:val="000000"/>
                <w:sz w:val="24"/>
                <w:szCs w:val="24"/>
              </w:rPr>
              <w:t xml:space="preserve">It was commented that it appears that the selected reactor technology is fundamentally different. Even if the choses technology is smaller than the options studied in the original EA. </w:t>
            </w:r>
          </w:p>
          <w:p w14:paraId="68EF597E" w14:textId="37280204" w:rsidR="00AE7DD4" w:rsidRPr="007B6616" w:rsidRDefault="007B6616" w:rsidP="00856D3F">
            <w:pPr>
              <w:pStyle w:val="ListParagraph"/>
              <w:numPr>
                <w:ilvl w:val="0"/>
                <w:numId w:val="18"/>
              </w:numPr>
              <w:rPr>
                <w:rFonts w:ascii="Segoe UI" w:hAnsi="Segoe UI" w:cs="Segoe UI"/>
                <w:color w:val="000000"/>
                <w:sz w:val="24"/>
                <w:szCs w:val="24"/>
              </w:rPr>
            </w:pPr>
            <w:r>
              <w:rPr>
                <w:rFonts w:ascii="Segoe UI" w:hAnsi="Segoe UI" w:cs="Segoe UI"/>
                <w:color w:val="000000"/>
                <w:sz w:val="24"/>
                <w:szCs w:val="24"/>
              </w:rPr>
              <w:t xml:space="preserve">Have </w:t>
            </w:r>
            <w:r w:rsidR="00AE7DD4" w:rsidRPr="007B6616">
              <w:rPr>
                <w:rFonts w:ascii="Segoe UI" w:hAnsi="Segoe UI" w:cs="Segoe UI"/>
                <w:color w:val="000000"/>
                <w:sz w:val="24"/>
                <w:szCs w:val="24"/>
              </w:rPr>
              <w:t>the studies conducted during the EA in 2009 have been updated</w:t>
            </w:r>
            <w:r>
              <w:rPr>
                <w:rFonts w:ascii="Segoe UI" w:hAnsi="Segoe UI" w:cs="Segoe UI"/>
                <w:color w:val="000000"/>
                <w:sz w:val="24"/>
                <w:szCs w:val="24"/>
              </w:rPr>
              <w:t>?</w:t>
            </w:r>
          </w:p>
          <w:p w14:paraId="3E8782C7" w14:textId="46847E75" w:rsidR="00AE7DD4" w:rsidRPr="007B6616" w:rsidRDefault="007B6616" w:rsidP="00856D3F">
            <w:pPr>
              <w:pStyle w:val="ListParagraph"/>
              <w:numPr>
                <w:ilvl w:val="0"/>
                <w:numId w:val="18"/>
              </w:numPr>
              <w:rPr>
                <w:rFonts w:ascii="Segoe UI" w:hAnsi="Segoe UI" w:cs="Segoe UI"/>
                <w:color w:val="000000"/>
                <w:sz w:val="24"/>
                <w:szCs w:val="24"/>
              </w:rPr>
            </w:pPr>
            <w:r>
              <w:rPr>
                <w:rFonts w:ascii="Segoe UI" w:hAnsi="Segoe UI" w:cs="Segoe UI"/>
                <w:color w:val="000000"/>
                <w:sz w:val="24"/>
                <w:szCs w:val="24"/>
              </w:rPr>
              <w:t>R</w:t>
            </w:r>
            <w:r w:rsidR="00AE7DD4" w:rsidRPr="007B6616">
              <w:rPr>
                <w:rFonts w:ascii="Segoe UI" w:hAnsi="Segoe UI" w:cs="Segoe UI"/>
                <w:color w:val="000000"/>
                <w:sz w:val="24"/>
                <w:szCs w:val="24"/>
              </w:rPr>
              <w:t xml:space="preserve">egardless of </w:t>
            </w:r>
            <w:proofErr w:type="gramStart"/>
            <w:r w:rsidR="00AE7DD4" w:rsidRPr="007B6616">
              <w:rPr>
                <w:rFonts w:ascii="Segoe UI" w:hAnsi="Segoe UI" w:cs="Segoe UI"/>
                <w:color w:val="000000"/>
                <w:sz w:val="24"/>
                <w:szCs w:val="24"/>
              </w:rPr>
              <w:t>whether or not</w:t>
            </w:r>
            <w:proofErr w:type="gramEnd"/>
            <w:r w:rsidR="00AE7DD4" w:rsidRPr="007B6616">
              <w:rPr>
                <w:rFonts w:ascii="Segoe UI" w:hAnsi="Segoe UI" w:cs="Segoe UI"/>
                <w:color w:val="000000"/>
                <w:sz w:val="24"/>
                <w:szCs w:val="24"/>
              </w:rPr>
              <w:t xml:space="preserve"> the reactor technologies are different, the environment has likely changed since 2009. </w:t>
            </w:r>
          </w:p>
          <w:p w14:paraId="77D9A9EE" w14:textId="43BCD529" w:rsidR="00AE7DD4" w:rsidRPr="007B6616" w:rsidRDefault="007B6616" w:rsidP="00856D3F">
            <w:pPr>
              <w:pStyle w:val="ListParagraph"/>
              <w:numPr>
                <w:ilvl w:val="0"/>
                <w:numId w:val="18"/>
              </w:numPr>
              <w:rPr>
                <w:rFonts w:ascii="Segoe UI" w:hAnsi="Segoe UI" w:cs="Segoe UI"/>
                <w:color w:val="000000"/>
                <w:sz w:val="24"/>
                <w:szCs w:val="24"/>
              </w:rPr>
            </w:pPr>
            <w:r>
              <w:rPr>
                <w:rFonts w:ascii="Segoe UI" w:hAnsi="Segoe UI" w:cs="Segoe UI"/>
                <w:color w:val="000000"/>
                <w:sz w:val="24"/>
                <w:szCs w:val="24"/>
              </w:rPr>
              <w:t>C</w:t>
            </w:r>
            <w:r w:rsidR="00AE7DD4" w:rsidRPr="007B6616">
              <w:rPr>
                <w:rFonts w:ascii="Segoe UI" w:hAnsi="Segoe UI" w:cs="Segoe UI"/>
                <w:color w:val="000000"/>
                <w:sz w:val="24"/>
                <w:szCs w:val="24"/>
              </w:rPr>
              <w:t xml:space="preserve">omment that mitigation measures are not always </w:t>
            </w:r>
            <w:r w:rsidR="009D7B56" w:rsidRPr="007B6616">
              <w:rPr>
                <w:rFonts w:ascii="Segoe UI" w:hAnsi="Segoe UI" w:cs="Segoe UI"/>
                <w:color w:val="000000"/>
                <w:sz w:val="24"/>
                <w:szCs w:val="24"/>
              </w:rPr>
              <w:t>effective,</w:t>
            </w:r>
            <w:r w:rsidR="00AE7DD4" w:rsidRPr="007B6616">
              <w:rPr>
                <w:rFonts w:ascii="Segoe UI" w:hAnsi="Segoe UI" w:cs="Segoe UI"/>
                <w:color w:val="000000"/>
                <w:sz w:val="24"/>
                <w:szCs w:val="24"/>
              </w:rPr>
              <w:t xml:space="preserve"> and populations are declining. Proponents should go above and beyond in their mitigation or offsetting to try to reduce the negative environmental impacts and work towards improving the environment. </w:t>
            </w:r>
            <w:r w:rsidR="00AE7DD4" w:rsidRPr="007B6616">
              <w:rPr>
                <w:rFonts w:ascii="Segoe UI" w:hAnsi="Segoe UI" w:cs="Segoe UI"/>
                <w:color w:val="000000"/>
                <w:sz w:val="24"/>
                <w:szCs w:val="24"/>
              </w:rPr>
              <w:br/>
            </w:r>
            <w:r>
              <w:rPr>
                <w:rFonts w:ascii="Segoe UI" w:hAnsi="Segoe UI" w:cs="Segoe UI"/>
                <w:color w:val="000000"/>
                <w:sz w:val="24"/>
                <w:szCs w:val="24"/>
              </w:rPr>
              <w:t xml:space="preserve">An </w:t>
            </w:r>
            <w:r w:rsidR="00AE7DD4" w:rsidRPr="007B6616">
              <w:rPr>
                <w:rFonts w:ascii="Segoe UI" w:hAnsi="Segoe UI" w:cs="Segoe UI"/>
                <w:color w:val="000000"/>
                <w:sz w:val="24"/>
                <w:szCs w:val="24"/>
              </w:rPr>
              <w:t xml:space="preserve">example </w:t>
            </w:r>
            <w:r>
              <w:rPr>
                <w:rFonts w:ascii="Segoe UI" w:hAnsi="Segoe UI" w:cs="Segoe UI"/>
                <w:color w:val="000000"/>
                <w:sz w:val="24"/>
                <w:szCs w:val="24"/>
              </w:rPr>
              <w:t>was r</w:t>
            </w:r>
            <w:r w:rsidR="00AE7DD4" w:rsidRPr="007B6616">
              <w:rPr>
                <w:rFonts w:ascii="Segoe UI" w:hAnsi="Segoe UI" w:cs="Segoe UI"/>
                <w:color w:val="000000"/>
                <w:sz w:val="24"/>
                <w:szCs w:val="24"/>
              </w:rPr>
              <w:t xml:space="preserve">eplanting trees at a 10 to 1 ratio. </w:t>
            </w:r>
          </w:p>
          <w:p w14:paraId="2CE904E8" w14:textId="0ED85E95" w:rsidR="00AE7DD4" w:rsidRPr="007B6616" w:rsidRDefault="007B6616" w:rsidP="00856D3F">
            <w:pPr>
              <w:pStyle w:val="ListParagraph"/>
              <w:numPr>
                <w:ilvl w:val="0"/>
                <w:numId w:val="18"/>
              </w:numPr>
              <w:rPr>
                <w:rFonts w:ascii="Segoe UI" w:hAnsi="Segoe UI" w:cs="Segoe UI"/>
                <w:color w:val="000000"/>
                <w:sz w:val="24"/>
                <w:szCs w:val="24"/>
              </w:rPr>
            </w:pPr>
            <w:r>
              <w:rPr>
                <w:rFonts w:ascii="Segoe UI" w:hAnsi="Segoe UI" w:cs="Segoe UI"/>
                <w:color w:val="000000"/>
                <w:sz w:val="24"/>
                <w:szCs w:val="24"/>
              </w:rPr>
              <w:t>C</w:t>
            </w:r>
            <w:r w:rsidR="00AE7DD4" w:rsidRPr="007B6616">
              <w:rPr>
                <w:rFonts w:ascii="Segoe UI" w:hAnsi="Segoe UI" w:cs="Segoe UI"/>
                <w:color w:val="000000"/>
                <w:sz w:val="24"/>
                <w:szCs w:val="24"/>
              </w:rPr>
              <w:t>omment that other species should be considered, not just species at risk.</w:t>
            </w:r>
            <w:r>
              <w:rPr>
                <w:rFonts w:ascii="Segoe UI" w:hAnsi="Segoe UI" w:cs="Segoe UI"/>
                <w:color w:val="000000"/>
                <w:sz w:val="24"/>
                <w:szCs w:val="24"/>
              </w:rPr>
              <w:t xml:space="preserve"> R</w:t>
            </w:r>
            <w:r w:rsidR="00AE7DD4" w:rsidRPr="007B6616">
              <w:rPr>
                <w:rFonts w:ascii="Segoe UI" w:hAnsi="Segoe UI" w:cs="Segoe UI"/>
                <w:color w:val="000000"/>
                <w:sz w:val="24"/>
                <w:szCs w:val="24"/>
              </w:rPr>
              <w:t>ecommend</w:t>
            </w:r>
            <w:r>
              <w:rPr>
                <w:rFonts w:ascii="Segoe UI" w:hAnsi="Segoe UI" w:cs="Segoe UI"/>
                <w:color w:val="000000"/>
                <w:sz w:val="24"/>
                <w:szCs w:val="24"/>
              </w:rPr>
              <w:t>ation</w:t>
            </w:r>
            <w:r w:rsidR="00AE7DD4" w:rsidRPr="007B6616">
              <w:rPr>
                <w:rFonts w:ascii="Segoe UI" w:hAnsi="Segoe UI" w:cs="Segoe UI"/>
                <w:color w:val="000000"/>
                <w:sz w:val="24"/>
                <w:szCs w:val="24"/>
              </w:rPr>
              <w:t xml:space="preserve"> including species that are culturally important to Indigenous Nations and communities or used for subsistence. </w:t>
            </w:r>
          </w:p>
        </w:tc>
      </w:tr>
      <w:tr w:rsidR="00AE7DD4" w:rsidRPr="007B6616" w14:paraId="51AE6310" w14:textId="77777777" w:rsidTr="007B6616">
        <w:tc>
          <w:tcPr>
            <w:tcW w:w="2830" w:type="dxa"/>
          </w:tcPr>
          <w:p w14:paraId="348D8311"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Environmental Effects</w:t>
            </w:r>
          </w:p>
          <w:p w14:paraId="31D03D4F" w14:textId="77777777" w:rsidR="00AE7DD4" w:rsidRPr="007B6616" w:rsidRDefault="00AE7DD4" w:rsidP="00C54C0E">
            <w:pPr>
              <w:pStyle w:val="ListParagraph"/>
              <w:ind w:left="0"/>
              <w:rPr>
                <w:rFonts w:ascii="Segoe UI" w:hAnsi="Segoe UI" w:cs="Segoe UI"/>
                <w:sz w:val="24"/>
                <w:szCs w:val="24"/>
                <w:lang w:val="en-US"/>
              </w:rPr>
            </w:pPr>
          </w:p>
          <w:p w14:paraId="778C0E47" w14:textId="77777777" w:rsidR="00AE7DD4" w:rsidRPr="007B6616" w:rsidRDefault="00AE7DD4" w:rsidP="00C54C0E">
            <w:pPr>
              <w:pStyle w:val="ListParagraph"/>
              <w:ind w:left="0"/>
              <w:rPr>
                <w:rFonts w:ascii="Segoe UI" w:hAnsi="Segoe UI" w:cs="Segoe UI"/>
                <w:sz w:val="24"/>
                <w:szCs w:val="24"/>
                <w:lang w:val="en-US"/>
              </w:rPr>
            </w:pPr>
          </w:p>
          <w:p w14:paraId="2B25935A" w14:textId="77777777" w:rsidR="00AE7DD4" w:rsidRPr="007B6616" w:rsidRDefault="00AE7DD4" w:rsidP="00C54C0E">
            <w:pPr>
              <w:pStyle w:val="ListParagraph"/>
              <w:ind w:left="0"/>
              <w:rPr>
                <w:rFonts w:ascii="Segoe UI" w:hAnsi="Segoe UI" w:cs="Segoe UI"/>
                <w:sz w:val="24"/>
                <w:szCs w:val="24"/>
                <w:lang w:val="en-US"/>
              </w:rPr>
            </w:pPr>
          </w:p>
          <w:p w14:paraId="25DD3532" w14:textId="77777777" w:rsidR="00AE7DD4" w:rsidRPr="007B6616" w:rsidRDefault="00AE7DD4" w:rsidP="00C54C0E">
            <w:pPr>
              <w:pStyle w:val="ListParagraph"/>
              <w:ind w:left="0"/>
              <w:rPr>
                <w:rFonts w:ascii="Segoe UI" w:hAnsi="Segoe UI" w:cs="Segoe UI"/>
                <w:sz w:val="24"/>
                <w:szCs w:val="24"/>
                <w:lang w:val="en-US"/>
              </w:rPr>
            </w:pPr>
          </w:p>
          <w:p w14:paraId="09CF89E1" w14:textId="77777777" w:rsidR="00AE7DD4" w:rsidRPr="007B6616" w:rsidRDefault="00AE7DD4" w:rsidP="00C54C0E">
            <w:pPr>
              <w:pStyle w:val="ListParagraph"/>
              <w:ind w:left="0"/>
              <w:rPr>
                <w:rFonts w:ascii="Segoe UI" w:hAnsi="Segoe UI" w:cs="Segoe UI"/>
                <w:sz w:val="24"/>
                <w:szCs w:val="24"/>
                <w:lang w:val="en-US"/>
              </w:rPr>
            </w:pPr>
          </w:p>
          <w:p w14:paraId="01982368" w14:textId="77777777" w:rsidR="00AE7DD4" w:rsidRPr="007B6616" w:rsidRDefault="00AE7DD4" w:rsidP="00C54C0E">
            <w:pPr>
              <w:pStyle w:val="ListParagraph"/>
              <w:ind w:left="0"/>
              <w:rPr>
                <w:rFonts w:ascii="Segoe UI" w:hAnsi="Segoe UI" w:cs="Segoe UI"/>
                <w:sz w:val="24"/>
                <w:szCs w:val="24"/>
                <w:lang w:val="en-US"/>
              </w:rPr>
            </w:pPr>
          </w:p>
          <w:p w14:paraId="5718EEAA" w14:textId="77777777" w:rsidR="00AE7DD4" w:rsidRPr="007B6616" w:rsidRDefault="00AE7DD4" w:rsidP="00C54C0E">
            <w:pPr>
              <w:pStyle w:val="ListParagraph"/>
              <w:ind w:left="0"/>
              <w:rPr>
                <w:rFonts w:ascii="Segoe UI" w:hAnsi="Segoe UI" w:cs="Segoe UI"/>
                <w:sz w:val="24"/>
                <w:szCs w:val="24"/>
                <w:lang w:val="en-US"/>
              </w:rPr>
            </w:pPr>
          </w:p>
          <w:p w14:paraId="0776840E" w14:textId="77777777" w:rsidR="00AE7DD4" w:rsidRPr="007B6616" w:rsidRDefault="00AE7DD4" w:rsidP="00C54C0E">
            <w:pPr>
              <w:pStyle w:val="ListParagraph"/>
              <w:ind w:left="0"/>
              <w:rPr>
                <w:rFonts w:ascii="Segoe UI" w:hAnsi="Segoe UI" w:cs="Segoe UI"/>
                <w:sz w:val="24"/>
                <w:szCs w:val="24"/>
                <w:lang w:val="en-US"/>
              </w:rPr>
            </w:pPr>
          </w:p>
          <w:p w14:paraId="7AB095F2" w14:textId="77777777" w:rsidR="00AE7DD4" w:rsidRPr="007B6616" w:rsidRDefault="00AE7DD4" w:rsidP="00C54C0E">
            <w:pPr>
              <w:pStyle w:val="ListParagraph"/>
              <w:ind w:left="0"/>
              <w:rPr>
                <w:rFonts w:ascii="Segoe UI" w:hAnsi="Segoe UI" w:cs="Segoe UI"/>
                <w:sz w:val="24"/>
                <w:szCs w:val="24"/>
                <w:lang w:val="en-US"/>
              </w:rPr>
            </w:pPr>
          </w:p>
          <w:p w14:paraId="27CC57A2" w14:textId="77777777" w:rsidR="00AE7DD4" w:rsidRPr="007B6616" w:rsidRDefault="00AE7DD4" w:rsidP="00C54C0E">
            <w:pPr>
              <w:pStyle w:val="ListParagraph"/>
              <w:ind w:left="0"/>
              <w:rPr>
                <w:rFonts w:ascii="Segoe UI" w:hAnsi="Segoe UI" w:cs="Segoe UI"/>
                <w:sz w:val="24"/>
                <w:szCs w:val="24"/>
                <w:lang w:val="en-US"/>
              </w:rPr>
            </w:pPr>
          </w:p>
          <w:p w14:paraId="7BCACC9A" w14:textId="77777777" w:rsidR="00AE7DD4" w:rsidRPr="007B6616" w:rsidRDefault="00AE7DD4" w:rsidP="00C54C0E">
            <w:pPr>
              <w:pStyle w:val="ListParagraph"/>
              <w:ind w:left="0"/>
              <w:rPr>
                <w:rFonts w:ascii="Segoe UI" w:hAnsi="Segoe UI" w:cs="Segoe UI"/>
                <w:sz w:val="24"/>
                <w:szCs w:val="24"/>
                <w:lang w:val="en-US"/>
              </w:rPr>
            </w:pPr>
          </w:p>
          <w:p w14:paraId="72690333" w14:textId="77777777" w:rsidR="00AE7DD4" w:rsidRPr="007B6616" w:rsidRDefault="00AE7DD4" w:rsidP="00C54C0E">
            <w:pPr>
              <w:pStyle w:val="ListParagraph"/>
              <w:ind w:left="0"/>
              <w:rPr>
                <w:rFonts w:ascii="Segoe UI" w:hAnsi="Segoe UI" w:cs="Segoe UI"/>
                <w:sz w:val="24"/>
                <w:szCs w:val="24"/>
                <w:lang w:val="en-US"/>
              </w:rPr>
            </w:pPr>
          </w:p>
          <w:p w14:paraId="18FE7A07" w14:textId="77777777" w:rsidR="00AE7DD4" w:rsidRPr="007B6616" w:rsidRDefault="00AE7DD4" w:rsidP="00C54C0E">
            <w:pPr>
              <w:pStyle w:val="ListParagraph"/>
              <w:ind w:left="0"/>
              <w:rPr>
                <w:rFonts w:ascii="Segoe UI" w:hAnsi="Segoe UI" w:cs="Segoe UI"/>
                <w:sz w:val="24"/>
                <w:szCs w:val="24"/>
                <w:lang w:val="en-US"/>
              </w:rPr>
            </w:pPr>
          </w:p>
          <w:p w14:paraId="017A23D3" w14:textId="77777777" w:rsidR="00AE7DD4" w:rsidRPr="007B6616" w:rsidRDefault="00AE7DD4" w:rsidP="00C54C0E">
            <w:pPr>
              <w:pStyle w:val="ListParagraph"/>
              <w:ind w:left="0"/>
              <w:rPr>
                <w:rFonts w:ascii="Segoe UI" w:hAnsi="Segoe UI" w:cs="Segoe UI"/>
                <w:sz w:val="24"/>
                <w:szCs w:val="24"/>
                <w:lang w:val="en-US"/>
              </w:rPr>
            </w:pPr>
          </w:p>
          <w:p w14:paraId="01FCB2AE" w14:textId="77777777" w:rsidR="00AE7DD4" w:rsidRPr="007B6616" w:rsidRDefault="00AE7DD4" w:rsidP="00C54C0E">
            <w:pPr>
              <w:pStyle w:val="ListParagraph"/>
              <w:ind w:left="0"/>
              <w:rPr>
                <w:rFonts w:ascii="Segoe UI" w:hAnsi="Segoe UI" w:cs="Segoe UI"/>
                <w:sz w:val="24"/>
                <w:szCs w:val="24"/>
                <w:lang w:val="en-US"/>
              </w:rPr>
            </w:pPr>
          </w:p>
          <w:p w14:paraId="26983FEF" w14:textId="77777777" w:rsidR="00AE7DD4" w:rsidRPr="007B6616" w:rsidRDefault="00AE7DD4" w:rsidP="00C54C0E">
            <w:pPr>
              <w:pStyle w:val="ListParagraph"/>
              <w:ind w:left="0"/>
              <w:rPr>
                <w:rFonts w:ascii="Segoe UI" w:hAnsi="Segoe UI" w:cs="Segoe UI"/>
                <w:sz w:val="24"/>
                <w:szCs w:val="24"/>
                <w:lang w:val="en-US"/>
              </w:rPr>
            </w:pPr>
          </w:p>
          <w:p w14:paraId="657679F8" w14:textId="77777777" w:rsidR="00AE7DD4" w:rsidRPr="007B6616" w:rsidRDefault="00AE7DD4" w:rsidP="00C54C0E">
            <w:pPr>
              <w:pStyle w:val="ListParagraph"/>
              <w:ind w:left="0"/>
              <w:rPr>
                <w:rFonts w:ascii="Segoe UI" w:hAnsi="Segoe UI" w:cs="Segoe UI"/>
                <w:sz w:val="24"/>
                <w:szCs w:val="24"/>
                <w:lang w:val="en-US"/>
              </w:rPr>
            </w:pPr>
          </w:p>
          <w:p w14:paraId="53CE1BF9" w14:textId="77777777" w:rsidR="00AE7DD4" w:rsidRPr="007B6616" w:rsidRDefault="00AE7DD4" w:rsidP="00C54C0E">
            <w:pPr>
              <w:pStyle w:val="ListParagraph"/>
              <w:ind w:left="0"/>
              <w:rPr>
                <w:rFonts w:ascii="Segoe UI" w:hAnsi="Segoe UI" w:cs="Segoe UI"/>
                <w:sz w:val="24"/>
                <w:szCs w:val="24"/>
                <w:lang w:val="en-US"/>
              </w:rPr>
            </w:pPr>
          </w:p>
          <w:p w14:paraId="0DF8C020" w14:textId="77777777" w:rsidR="00AE7DD4" w:rsidRPr="007B6616" w:rsidRDefault="00AE7DD4" w:rsidP="00C54C0E">
            <w:pPr>
              <w:pStyle w:val="ListParagraph"/>
              <w:ind w:left="0"/>
              <w:rPr>
                <w:rFonts w:ascii="Segoe UI" w:hAnsi="Segoe UI" w:cs="Segoe UI"/>
                <w:sz w:val="24"/>
                <w:szCs w:val="24"/>
                <w:lang w:val="en-US"/>
              </w:rPr>
            </w:pPr>
          </w:p>
          <w:p w14:paraId="67269C2F" w14:textId="77777777" w:rsidR="00AE7DD4" w:rsidRPr="007B6616" w:rsidRDefault="00AE7DD4" w:rsidP="00C54C0E">
            <w:pPr>
              <w:pStyle w:val="ListParagraph"/>
              <w:ind w:left="0"/>
              <w:rPr>
                <w:rFonts w:ascii="Segoe UI" w:hAnsi="Segoe UI" w:cs="Segoe UI"/>
                <w:sz w:val="24"/>
                <w:szCs w:val="24"/>
                <w:lang w:val="en-US"/>
              </w:rPr>
            </w:pPr>
          </w:p>
          <w:p w14:paraId="4BCEC3DD" w14:textId="77777777" w:rsidR="00AE7DD4" w:rsidRPr="007B6616" w:rsidRDefault="00AE7DD4" w:rsidP="00C54C0E">
            <w:pPr>
              <w:pStyle w:val="ListParagraph"/>
              <w:ind w:left="0"/>
              <w:rPr>
                <w:rFonts w:ascii="Segoe UI" w:hAnsi="Segoe UI" w:cs="Segoe UI"/>
                <w:sz w:val="24"/>
                <w:szCs w:val="24"/>
                <w:lang w:val="en-US"/>
              </w:rPr>
            </w:pPr>
          </w:p>
          <w:p w14:paraId="76784992" w14:textId="77777777" w:rsidR="00AE7DD4" w:rsidRPr="007B6616" w:rsidRDefault="00AE7DD4" w:rsidP="00C54C0E">
            <w:pPr>
              <w:pStyle w:val="ListParagraph"/>
              <w:ind w:left="0"/>
              <w:rPr>
                <w:rFonts w:ascii="Segoe UI" w:hAnsi="Segoe UI" w:cs="Segoe UI"/>
                <w:sz w:val="24"/>
                <w:szCs w:val="24"/>
                <w:lang w:val="en-US"/>
              </w:rPr>
            </w:pPr>
          </w:p>
          <w:p w14:paraId="6A0E91D7" w14:textId="77777777" w:rsidR="00AE7DD4" w:rsidRPr="007B6616" w:rsidRDefault="00AE7DD4" w:rsidP="00C54C0E">
            <w:pPr>
              <w:pStyle w:val="ListParagraph"/>
              <w:ind w:left="0"/>
              <w:rPr>
                <w:rFonts w:ascii="Segoe UI" w:hAnsi="Segoe UI" w:cs="Segoe UI"/>
                <w:sz w:val="24"/>
                <w:szCs w:val="24"/>
                <w:lang w:val="en-US"/>
              </w:rPr>
            </w:pPr>
          </w:p>
          <w:p w14:paraId="66921686" w14:textId="77777777" w:rsidR="00AE7DD4" w:rsidRPr="007B6616" w:rsidRDefault="00AE7DD4" w:rsidP="00C54C0E">
            <w:pPr>
              <w:pStyle w:val="ListParagraph"/>
              <w:ind w:left="0"/>
              <w:rPr>
                <w:rFonts w:ascii="Segoe UI" w:hAnsi="Segoe UI" w:cs="Segoe UI"/>
                <w:sz w:val="24"/>
                <w:szCs w:val="24"/>
                <w:lang w:val="en-US"/>
              </w:rPr>
            </w:pPr>
          </w:p>
          <w:p w14:paraId="29F4529B" w14:textId="77777777" w:rsidR="00AE7DD4" w:rsidRPr="007B6616" w:rsidRDefault="00AE7DD4" w:rsidP="00C54C0E">
            <w:pPr>
              <w:pStyle w:val="ListParagraph"/>
              <w:ind w:left="0"/>
              <w:rPr>
                <w:rFonts w:ascii="Segoe UI" w:hAnsi="Segoe UI" w:cs="Segoe UI"/>
                <w:sz w:val="24"/>
                <w:szCs w:val="24"/>
                <w:lang w:val="en-US"/>
              </w:rPr>
            </w:pPr>
          </w:p>
          <w:p w14:paraId="4F4B0315" w14:textId="77777777" w:rsidR="00AE7DD4" w:rsidRPr="007B6616" w:rsidRDefault="00AE7DD4" w:rsidP="00C54C0E">
            <w:pPr>
              <w:pStyle w:val="ListParagraph"/>
              <w:ind w:left="0"/>
              <w:rPr>
                <w:rFonts w:ascii="Segoe UI" w:hAnsi="Segoe UI" w:cs="Segoe UI"/>
                <w:sz w:val="24"/>
                <w:szCs w:val="24"/>
                <w:lang w:val="en-US"/>
              </w:rPr>
            </w:pPr>
          </w:p>
          <w:p w14:paraId="31603A32" w14:textId="77777777" w:rsidR="00AE7DD4" w:rsidRPr="007B6616" w:rsidRDefault="00AE7DD4" w:rsidP="00C54C0E">
            <w:pPr>
              <w:pStyle w:val="ListParagraph"/>
              <w:ind w:left="0"/>
              <w:rPr>
                <w:rFonts w:ascii="Segoe UI" w:hAnsi="Segoe UI" w:cs="Segoe UI"/>
                <w:sz w:val="24"/>
                <w:szCs w:val="24"/>
                <w:lang w:val="en-US"/>
              </w:rPr>
            </w:pPr>
          </w:p>
          <w:p w14:paraId="0AC6C6B6" w14:textId="77777777" w:rsidR="00AE7DD4" w:rsidRPr="007B6616" w:rsidRDefault="00AE7DD4" w:rsidP="00C54C0E">
            <w:pPr>
              <w:pStyle w:val="ListParagraph"/>
              <w:ind w:left="0"/>
              <w:rPr>
                <w:rFonts w:ascii="Segoe UI" w:hAnsi="Segoe UI" w:cs="Segoe UI"/>
                <w:sz w:val="24"/>
                <w:szCs w:val="24"/>
                <w:lang w:val="en-US"/>
              </w:rPr>
            </w:pPr>
          </w:p>
          <w:p w14:paraId="5AD561BF" w14:textId="77777777" w:rsidR="00AE7DD4" w:rsidRPr="007B6616" w:rsidRDefault="00AE7DD4" w:rsidP="00C54C0E">
            <w:pPr>
              <w:pStyle w:val="ListParagraph"/>
              <w:ind w:left="0"/>
              <w:rPr>
                <w:rFonts w:ascii="Segoe UI" w:hAnsi="Segoe UI" w:cs="Segoe UI"/>
                <w:sz w:val="24"/>
                <w:szCs w:val="24"/>
                <w:lang w:val="en-US"/>
              </w:rPr>
            </w:pPr>
          </w:p>
          <w:p w14:paraId="5DE03719" w14:textId="77777777" w:rsidR="00AE7DD4" w:rsidRPr="007B6616" w:rsidRDefault="00AE7DD4" w:rsidP="00C54C0E">
            <w:pPr>
              <w:pStyle w:val="ListParagraph"/>
              <w:ind w:left="0"/>
              <w:rPr>
                <w:rFonts w:ascii="Segoe UI" w:hAnsi="Segoe UI" w:cs="Segoe UI"/>
                <w:sz w:val="24"/>
                <w:szCs w:val="24"/>
                <w:lang w:val="en-US"/>
              </w:rPr>
            </w:pPr>
          </w:p>
          <w:p w14:paraId="2FB7FC06" w14:textId="77777777" w:rsidR="00AE7DD4" w:rsidRPr="007B6616" w:rsidRDefault="00AE7DD4" w:rsidP="00C54C0E">
            <w:pPr>
              <w:pStyle w:val="ListParagraph"/>
              <w:ind w:left="0"/>
              <w:rPr>
                <w:rFonts w:ascii="Segoe UI" w:hAnsi="Segoe UI" w:cs="Segoe UI"/>
                <w:sz w:val="24"/>
                <w:szCs w:val="24"/>
                <w:lang w:val="en-US"/>
              </w:rPr>
            </w:pPr>
          </w:p>
          <w:p w14:paraId="4A802851" w14:textId="77777777" w:rsidR="00AE7DD4" w:rsidRPr="007B6616" w:rsidRDefault="00AE7DD4" w:rsidP="00C54C0E">
            <w:pPr>
              <w:pStyle w:val="ListParagraph"/>
              <w:ind w:left="0"/>
              <w:rPr>
                <w:rFonts w:ascii="Segoe UI" w:hAnsi="Segoe UI" w:cs="Segoe UI"/>
                <w:sz w:val="24"/>
                <w:szCs w:val="24"/>
                <w:lang w:val="en-US"/>
              </w:rPr>
            </w:pPr>
          </w:p>
          <w:p w14:paraId="1B1A27D0" w14:textId="77777777" w:rsidR="00AE7DD4" w:rsidRPr="007B6616" w:rsidRDefault="00AE7DD4" w:rsidP="00C54C0E">
            <w:pPr>
              <w:pStyle w:val="ListParagraph"/>
              <w:ind w:left="0"/>
              <w:rPr>
                <w:rFonts w:ascii="Segoe UI" w:hAnsi="Segoe UI" w:cs="Segoe UI"/>
                <w:sz w:val="24"/>
                <w:szCs w:val="24"/>
                <w:lang w:val="en-US"/>
              </w:rPr>
            </w:pPr>
          </w:p>
          <w:p w14:paraId="2C3275E5" w14:textId="77777777" w:rsidR="00AE7DD4" w:rsidRPr="007B6616" w:rsidRDefault="00AE7DD4" w:rsidP="00C54C0E">
            <w:pPr>
              <w:pStyle w:val="ListParagraph"/>
              <w:ind w:left="0"/>
              <w:rPr>
                <w:rFonts w:ascii="Segoe UI" w:hAnsi="Segoe UI" w:cs="Segoe UI"/>
                <w:sz w:val="24"/>
                <w:szCs w:val="24"/>
                <w:lang w:val="en-US"/>
              </w:rPr>
            </w:pPr>
          </w:p>
          <w:p w14:paraId="359AF9BE" w14:textId="77777777" w:rsidR="00AE7DD4" w:rsidRPr="007B6616" w:rsidRDefault="00AE7DD4" w:rsidP="00C54C0E">
            <w:pPr>
              <w:pStyle w:val="ListParagraph"/>
              <w:ind w:left="0"/>
              <w:rPr>
                <w:rFonts w:ascii="Segoe UI" w:hAnsi="Segoe UI" w:cs="Segoe UI"/>
                <w:sz w:val="24"/>
                <w:szCs w:val="24"/>
                <w:lang w:val="en-US"/>
              </w:rPr>
            </w:pPr>
          </w:p>
          <w:p w14:paraId="5FD15E22" w14:textId="77777777" w:rsidR="00AE7DD4" w:rsidRPr="007B6616" w:rsidRDefault="00AE7DD4" w:rsidP="00C54C0E">
            <w:pPr>
              <w:pStyle w:val="ListParagraph"/>
              <w:ind w:left="0"/>
              <w:rPr>
                <w:rFonts w:ascii="Segoe UI" w:hAnsi="Segoe UI" w:cs="Segoe UI"/>
                <w:sz w:val="24"/>
                <w:szCs w:val="24"/>
                <w:lang w:val="en-US"/>
              </w:rPr>
            </w:pPr>
          </w:p>
          <w:p w14:paraId="0B7E93C5" w14:textId="77777777" w:rsidR="00AE7DD4" w:rsidRPr="007B6616" w:rsidRDefault="00AE7DD4" w:rsidP="00C54C0E">
            <w:pPr>
              <w:pStyle w:val="ListParagraph"/>
              <w:ind w:left="0"/>
              <w:rPr>
                <w:rFonts w:ascii="Segoe UI" w:hAnsi="Segoe UI" w:cs="Segoe UI"/>
                <w:sz w:val="24"/>
                <w:szCs w:val="24"/>
                <w:lang w:val="en-US"/>
              </w:rPr>
            </w:pPr>
          </w:p>
          <w:p w14:paraId="12E4F024"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Fundamental Differences Threshold</w:t>
            </w:r>
          </w:p>
          <w:p w14:paraId="0E687C67" w14:textId="77777777" w:rsidR="00AE7DD4" w:rsidRPr="007B6616" w:rsidRDefault="00AE7DD4" w:rsidP="00C54C0E">
            <w:pPr>
              <w:pStyle w:val="ListParagraph"/>
              <w:ind w:left="0"/>
              <w:rPr>
                <w:rFonts w:ascii="Segoe UI" w:hAnsi="Segoe UI" w:cs="Segoe UI"/>
                <w:sz w:val="24"/>
                <w:szCs w:val="24"/>
                <w:lang w:val="en-US"/>
              </w:rPr>
            </w:pPr>
          </w:p>
          <w:p w14:paraId="1B30C009" w14:textId="77777777" w:rsidR="00AE7DD4" w:rsidRPr="007B6616" w:rsidRDefault="00AE7DD4" w:rsidP="00C54C0E">
            <w:pPr>
              <w:pStyle w:val="ListParagraph"/>
              <w:ind w:left="0"/>
              <w:rPr>
                <w:rFonts w:ascii="Segoe UI" w:hAnsi="Segoe UI" w:cs="Segoe UI"/>
                <w:sz w:val="24"/>
                <w:szCs w:val="24"/>
                <w:lang w:val="en-US"/>
              </w:rPr>
            </w:pPr>
          </w:p>
          <w:p w14:paraId="1E293502" w14:textId="77777777" w:rsidR="00AE7DD4" w:rsidRPr="007B6616" w:rsidRDefault="00AE7DD4" w:rsidP="00C54C0E">
            <w:pPr>
              <w:pStyle w:val="ListParagraph"/>
              <w:ind w:left="0"/>
              <w:rPr>
                <w:rFonts w:ascii="Segoe UI" w:hAnsi="Segoe UI" w:cs="Segoe UI"/>
                <w:sz w:val="24"/>
                <w:szCs w:val="24"/>
                <w:lang w:val="en-US"/>
              </w:rPr>
            </w:pPr>
          </w:p>
          <w:p w14:paraId="0254B90D" w14:textId="77777777" w:rsidR="00AE7DD4" w:rsidRPr="007B6616" w:rsidRDefault="00AE7DD4" w:rsidP="00C54C0E">
            <w:pPr>
              <w:pStyle w:val="ListParagraph"/>
              <w:ind w:left="0"/>
              <w:rPr>
                <w:rFonts w:ascii="Segoe UI" w:hAnsi="Segoe UI" w:cs="Segoe UI"/>
                <w:sz w:val="24"/>
                <w:szCs w:val="24"/>
                <w:lang w:val="en-US"/>
              </w:rPr>
            </w:pPr>
          </w:p>
          <w:p w14:paraId="019B626F" w14:textId="77777777" w:rsidR="00AE7DD4" w:rsidRPr="007B6616" w:rsidRDefault="00AE7DD4" w:rsidP="00C54C0E">
            <w:pPr>
              <w:pStyle w:val="ListParagraph"/>
              <w:ind w:left="0"/>
              <w:rPr>
                <w:rFonts w:ascii="Segoe UI" w:hAnsi="Segoe UI" w:cs="Segoe UI"/>
                <w:sz w:val="24"/>
                <w:szCs w:val="24"/>
                <w:lang w:val="en-US"/>
              </w:rPr>
            </w:pPr>
          </w:p>
          <w:p w14:paraId="6704AA15" w14:textId="77777777" w:rsidR="00AE7DD4" w:rsidRPr="007B6616" w:rsidRDefault="00AE7DD4" w:rsidP="00C54C0E">
            <w:pPr>
              <w:pStyle w:val="ListParagraph"/>
              <w:ind w:left="0"/>
              <w:rPr>
                <w:rFonts w:ascii="Segoe UI" w:hAnsi="Segoe UI" w:cs="Segoe UI"/>
                <w:sz w:val="24"/>
                <w:szCs w:val="24"/>
                <w:lang w:val="en-US"/>
              </w:rPr>
            </w:pPr>
          </w:p>
          <w:p w14:paraId="7EC512C8" w14:textId="77777777" w:rsidR="00AE7DD4" w:rsidRPr="007B6616" w:rsidRDefault="00AE7DD4" w:rsidP="00C54C0E">
            <w:pPr>
              <w:pStyle w:val="ListParagraph"/>
              <w:ind w:left="0"/>
              <w:rPr>
                <w:rFonts w:ascii="Segoe UI" w:hAnsi="Segoe UI" w:cs="Segoe UI"/>
                <w:sz w:val="24"/>
                <w:szCs w:val="24"/>
                <w:lang w:val="en-US"/>
              </w:rPr>
            </w:pPr>
          </w:p>
          <w:p w14:paraId="4F122A14" w14:textId="77777777" w:rsidR="00AE7DD4" w:rsidRPr="007B6616" w:rsidRDefault="00AE7DD4" w:rsidP="00C54C0E">
            <w:pPr>
              <w:pStyle w:val="ListParagraph"/>
              <w:ind w:left="0"/>
              <w:rPr>
                <w:rFonts w:ascii="Segoe UI" w:hAnsi="Segoe UI" w:cs="Segoe UI"/>
                <w:sz w:val="24"/>
                <w:szCs w:val="24"/>
                <w:lang w:val="en-US"/>
              </w:rPr>
            </w:pPr>
          </w:p>
          <w:p w14:paraId="21D723BF" w14:textId="77777777" w:rsidR="00AE7DD4" w:rsidRPr="007B6616" w:rsidRDefault="00AE7DD4" w:rsidP="00C54C0E">
            <w:pPr>
              <w:pStyle w:val="ListParagraph"/>
              <w:ind w:left="0"/>
              <w:rPr>
                <w:rFonts w:ascii="Segoe UI" w:hAnsi="Segoe UI" w:cs="Segoe UI"/>
                <w:sz w:val="24"/>
                <w:szCs w:val="24"/>
                <w:lang w:val="en-US"/>
              </w:rPr>
            </w:pPr>
          </w:p>
          <w:p w14:paraId="1FFB8B00" w14:textId="77777777" w:rsidR="00AE7DD4" w:rsidRPr="007B6616" w:rsidRDefault="00AE7DD4" w:rsidP="00C54C0E">
            <w:pPr>
              <w:pStyle w:val="ListParagraph"/>
              <w:ind w:left="0"/>
              <w:rPr>
                <w:rFonts w:ascii="Segoe UI" w:hAnsi="Segoe UI" w:cs="Segoe UI"/>
                <w:sz w:val="24"/>
                <w:szCs w:val="24"/>
                <w:lang w:val="en-US"/>
              </w:rPr>
            </w:pPr>
          </w:p>
          <w:p w14:paraId="5C8C3487" w14:textId="77777777" w:rsidR="00AE7DD4" w:rsidRPr="007B6616" w:rsidRDefault="00AE7DD4" w:rsidP="00C54C0E">
            <w:pPr>
              <w:pStyle w:val="ListParagraph"/>
              <w:ind w:left="0"/>
              <w:rPr>
                <w:rFonts w:ascii="Segoe UI" w:hAnsi="Segoe UI" w:cs="Segoe UI"/>
                <w:sz w:val="24"/>
                <w:szCs w:val="24"/>
                <w:lang w:val="en-US"/>
              </w:rPr>
            </w:pPr>
          </w:p>
          <w:p w14:paraId="5AE28266" w14:textId="77777777" w:rsidR="00AE7DD4" w:rsidRPr="007B6616" w:rsidRDefault="00AE7DD4" w:rsidP="00C54C0E">
            <w:pPr>
              <w:pStyle w:val="ListParagraph"/>
              <w:ind w:left="0"/>
              <w:rPr>
                <w:rFonts w:ascii="Segoe UI" w:hAnsi="Segoe UI" w:cs="Segoe UI"/>
                <w:sz w:val="24"/>
                <w:szCs w:val="24"/>
                <w:lang w:val="en-US"/>
              </w:rPr>
            </w:pPr>
          </w:p>
          <w:p w14:paraId="34F2329D" w14:textId="77777777" w:rsidR="00AE7DD4" w:rsidRPr="007B6616" w:rsidRDefault="00AE7DD4" w:rsidP="00C54C0E">
            <w:pPr>
              <w:pStyle w:val="ListParagraph"/>
              <w:ind w:left="0"/>
              <w:rPr>
                <w:rFonts w:ascii="Segoe UI" w:hAnsi="Segoe UI" w:cs="Segoe UI"/>
                <w:sz w:val="24"/>
                <w:szCs w:val="24"/>
                <w:lang w:val="en-US"/>
              </w:rPr>
            </w:pPr>
          </w:p>
          <w:p w14:paraId="0D50DE32" w14:textId="77777777" w:rsidR="00AE7DD4" w:rsidRPr="007B6616" w:rsidRDefault="00AE7DD4" w:rsidP="00C54C0E">
            <w:pPr>
              <w:pStyle w:val="ListParagraph"/>
              <w:ind w:left="0"/>
              <w:rPr>
                <w:rFonts w:ascii="Segoe UI" w:hAnsi="Segoe UI" w:cs="Segoe UI"/>
                <w:sz w:val="24"/>
                <w:szCs w:val="24"/>
                <w:lang w:val="en-US"/>
              </w:rPr>
            </w:pPr>
          </w:p>
          <w:p w14:paraId="3CD78CB9" w14:textId="77777777" w:rsidR="00AE7DD4" w:rsidRPr="007B6616" w:rsidRDefault="00AE7DD4" w:rsidP="00C54C0E">
            <w:pPr>
              <w:pStyle w:val="ListParagraph"/>
              <w:ind w:left="0"/>
              <w:rPr>
                <w:rFonts w:ascii="Segoe UI" w:hAnsi="Segoe UI" w:cs="Segoe UI"/>
                <w:sz w:val="24"/>
                <w:szCs w:val="24"/>
                <w:lang w:val="en-US"/>
              </w:rPr>
            </w:pPr>
          </w:p>
          <w:p w14:paraId="58E3C04A" w14:textId="77777777" w:rsidR="00AE7DD4" w:rsidRPr="007B6616" w:rsidRDefault="00AE7DD4" w:rsidP="00C54C0E">
            <w:pPr>
              <w:pStyle w:val="ListParagraph"/>
              <w:ind w:left="0"/>
              <w:rPr>
                <w:rFonts w:ascii="Segoe UI" w:hAnsi="Segoe UI" w:cs="Segoe UI"/>
                <w:sz w:val="24"/>
                <w:szCs w:val="24"/>
                <w:lang w:val="en-US"/>
              </w:rPr>
            </w:pPr>
          </w:p>
          <w:p w14:paraId="33DDCEE9" w14:textId="77777777" w:rsidR="00AE7DD4" w:rsidRPr="007B6616" w:rsidRDefault="00AE7DD4" w:rsidP="00C54C0E">
            <w:pPr>
              <w:pStyle w:val="ListParagraph"/>
              <w:ind w:left="0"/>
              <w:rPr>
                <w:rFonts w:ascii="Segoe UI" w:hAnsi="Segoe UI" w:cs="Segoe UI"/>
                <w:sz w:val="24"/>
                <w:szCs w:val="24"/>
                <w:lang w:val="en-US"/>
              </w:rPr>
            </w:pPr>
          </w:p>
          <w:p w14:paraId="3BBABC28" w14:textId="77777777" w:rsidR="00AE7DD4" w:rsidRPr="007B6616" w:rsidRDefault="00AE7DD4" w:rsidP="00C54C0E">
            <w:pPr>
              <w:pStyle w:val="ListParagraph"/>
              <w:ind w:left="0"/>
              <w:rPr>
                <w:rFonts w:ascii="Segoe UI" w:hAnsi="Segoe UI" w:cs="Segoe UI"/>
                <w:sz w:val="24"/>
                <w:szCs w:val="24"/>
                <w:lang w:val="en-US"/>
              </w:rPr>
            </w:pPr>
          </w:p>
          <w:p w14:paraId="401A4877" w14:textId="77777777" w:rsidR="00AE7DD4" w:rsidRPr="007B6616" w:rsidRDefault="00AE7DD4" w:rsidP="00C54C0E">
            <w:pPr>
              <w:pStyle w:val="ListParagraph"/>
              <w:ind w:left="0"/>
              <w:rPr>
                <w:rFonts w:ascii="Segoe UI" w:hAnsi="Segoe UI" w:cs="Segoe UI"/>
                <w:sz w:val="24"/>
                <w:szCs w:val="24"/>
                <w:lang w:val="en-US"/>
              </w:rPr>
            </w:pPr>
          </w:p>
          <w:p w14:paraId="75BD6D6F" w14:textId="77777777" w:rsidR="00AE7DD4" w:rsidRPr="007B6616" w:rsidRDefault="00AE7DD4" w:rsidP="00C54C0E">
            <w:pPr>
              <w:pStyle w:val="ListParagraph"/>
              <w:ind w:left="0"/>
              <w:rPr>
                <w:rFonts w:ascii="Segoe UI" w:hAnsi="Segoe UI" w:cs="Segoe UI"/>
                <w:sz w:val="24"/>
                <w:szCs w:val="24"/>
                <w:lang w:val="en-US"/>
              </w:rPr>
            </w:pPr>
          </w:p>
          <w:p w14:paraId="12C9C3EC" w14:textId="68AE87CB" w:rsidR="00AE7DD4" w:rsidRPr="007B6616" w:rsidRDefault="007B6616" w:rsidP="00C54C0E">
            <w:pPr>
              <w:pStyle w:val="ListParagraph"/>
              <w:ind w:left="0"/>
              <w:rPr>
                <w:rFonts w:ascii="Segoe UI" w:hAnsi="Segoe UI" w:cs="Segoe UI"/>
                <w:sz w:val="24"/>
                <w:szCs w:val="24"/>
                <w:lang w:val="en-US"/>
              </w:rPr>
            </w:pPr>
            <w:r>
              <w:rPr>
                <w:rFonts w:ascii="Segoe UI" w:hAnsi="Segoe UI" w:cs="Segoe UI"/>
                <w:sz w:val="24"/>
                <w:szCs w:val="24"/>
                <w:lang w:val="en-US"/>
              </w:rPr>
              <w:t>F</w:t>
            </w:r>
            <w:r w:rsidR="00AE7DD4" w:rsidRPr="007B6616">
              <w:rPr>
                <w:rFonts w:ascii="Segoe UI" w:hAnsi="Segoe UI" w:cs="Segoe UI"/>
                <w:sz w:val="24"/>
                <w:szCs w:val="24"/>
                <w:lang w:val="en-US"/>
              </w:rPr>
              <w:t>urther Studies</w:t>
            </w:r>
          </w:p>
        </w:tc>
        <w:tc>
          <w:tcPr>
            <w:tcW w:w="6520" w:type="dxa"/>
          </w:tcPr>
          <w:p w14:paraId="5594E683" w14:textId="77777777" w:rsidR="00AE7DD4" w:rsidRPr="007B6616" w:rsidRDefault="00AE7DD4" w:rsidP="00856D3F">
            <w:pPr>
              <w:pStyle w:val="ListParagraph"/>
              <w:numPr>
                <w:ilvl w:val="0"/>
                <w:numId w:val="19"/>
              </w:numPr>
              <w:rPr>
                <w:rFonts w:ascii="Segoe UI" w:hAnsi="Segoe UI" w:cs="Segoe UI"/>
                <w:color w:val="000000"/>
                <w:sz w:val="24"/>
                <w:szCs w:val="24"/>
              </w:rPr>
            </w:pPr>
            <w:r w:rsidRPr="007B6616">
              <w:rPr>
                <w:rFonts w:ascii="Segoe UI" w:hAnsi="Segoe UI" w:cs="Segoe UI"/>
                <w:color w:val="000000"/>
                <w:sz w:val="24"/>
                <w:szCs w:val="24"/>
              </w:rPr>
              <w:t>Further, arguments relating to the “smaller footprint” for the BWRX-300 ignore the deeper foundations required for the BWRX-300 (38m compared to all other reactors in the initial EIS that had a foundation depth of around 13.5m deep). The excavation work required for the BWRX-300 will alter the water table at the site, though the ways in which it may do so, and for exactly how long, are not discussed sufficiently in the 2022 EIS report;</w:t>
            </w:r>
          </w:p>
          <w:p w14:paraId="57DA05D2" w14:textId="77777777" w:rsidR="00AE7DD4" w:rsidRPr="007B6616" w:rsidRDefault="00AE7DD4" w:rsidP="00856D3F">
            <w:pPr>
              <w:pStyle w:val="ListParagraph"/>
              <w:numPr>
                <w:ilvl w:val="0"/>
                <w:numId w:val="19"/>
              </w:numPr>
              <w:rPr>
                <w:rFonts w:ascii="Segoe UI" w:hAnsi="Segoe UI" w:cs="Segoe UI"/>
                <w:color w:val="000000"/>
                <w:sz w:val="24"/>
                <w:szCs w:val="24"/>
              </w:rPr>
            </w:pPr>
            <w:r w:rsidRPr="007B6616">
              <w:rPr>
                <w:rFonts w:ascii="Segoe UI" w:hAnsi="Segoe UI" w:cs="Segoe UI"/>
                <w:color w:val="000000"/>
                <w:sz w:val="24"/>
                <w:szCs w:val="24"/>
              </w:rPr>
              <w:t>OPG asserts terrestrial effects of the BWRX-300 reactors will similarly be less than those identified for other reactors in the initial EIS since the surface area taken up by the reactors will be less for the BWRX-300 (19 hectares per reactor compared with the average 35 hectares for other reactors examined in the original EIS). The relative differences in disruption during construction of the BWRX-300 reactors versus other EIS reactors is under examined, and there is no evaluation of the likelihood that any saved surface area from smaller reactors would constitute significant gains in species habitat;</w:t>
            </w:r>
          </w:p>
          <w:p w14:paraId="0D29D1E4" w14:textId="528A00EF" w:rsidR="00AE7DD4" w:rsidRPr="007B6616" w:rsidRDefault="00AE7DD4" w:rsidP="00856D3F">
            <w:pPr>
              <w:pStyle w:val="ListParagraph"/>
              <w:numPr>
                <w:ilvl w:val="0"/>
                <w:numId w:val="19"/>
              </w:numPr>
              <w:rPr>
                <w:rFonts w:ascii="Segoe UI" w:hAnsi="Segoe UI" w:cs="Segoe UI"/>
                <w:color w:val="000000"/>
                <w:sz w:val="24"/>
                <w:szCs w:val="24"/>
              </w:rPr>
            </w:pPr>
            <w:r w:rsidRPr="007B6616">
              <w:rPr>
                <w:rFonts w:ascii="Segoe UI" w:hAnsi="Segoe UI" w:cs="Segoe UI"/>
                <w:color w:val="000000"/>
                <w:sz w:val="24"/>
                <w:szCs w:val="24"/>
              </w:rPr>
              <w:t xml:space="preserve">OPG asserts the aquatic environment will be more protected by BWRX-300 than the other reactors in the initial EIS because </w:t>
            </w:r>
            <w:r w:rsidR="007B6616" w:rsidRPr="007B6616">
              <w:rPr>
                <w:rFonts w:ascii="Segoe UI" w:hAnsi="Segoe UI" w:cs="Segoe UI"/>
                <w:color w:val="000000"/>
                <w:sz w:val="24"/>
                <w:szCs w:val="24"/>
              </w:rPr>
              <w:t>its</w:t>
            </w:r>
            <w:r w:rsidRPr="007B6616">
              <w:rPr>
                <w:rFonts w:ascii="Segoe UI" w:hAnsi="Segoe UI" w:cs="Segoe UI"/>
                <w:color w:val="000000"/>
                <w:sz w:val="24"/>
                <w:szCs w:val="24"/>
              </w:rPr>
              <w:t xml:space="preserve"> flow rate is relatively smaller. However, no assessment is provided to characterize the BWRX-300 flow rate and its impact on aquatic biota in more detail.</w:t>
            </w:r>
          </w:p>
          <w:p w14:paraId="6A464D9E" w14:textId="77777777" w:rsidR="00AE7DD4" w:rsidRPr="007B6616" w:rsidRDefault="00AE7DD4" w:rsidP="00856D3F">
            <w:pPr>
              <w:pStyle w:val="ListParagraph"/>
              <w:numPr>
                <w:ilvl w:val="0"/>
                <w:numId w:val="19"/>
              </w:numPr>
              <w:rPr>
                <w:rFonts w:ascii="Segoe UI" w:hAnsi="Segoe UI" w:cs="Segoe UI"/>
                <w:color w:val="000000"/>
                <w:sz w:val="24"/>
                <w:szCs w:val="24"/>
              </w:rPr>
            </w:pPr>
            <w:proofErr w:type="gramStart"/>
            <w:r w:rsidRPr="007B6616">
              <w:rPr>
                <w:rFonts w:ascii="Segoe UI" w:hAnsi="Segoe UI" w:cs="Segoe UI"/>
                <w:color w:val="000000"/>
                <w:sz w:val="24"/>
                <w:szCs w:val="24"/>
              </w:rPr>
              <w:t>After reviewing the EIS and PPE, it</w:t>
            </w:r>
            <w:proofErr w:type="gramEnd"/>
            <w:r w:rsidRPr="007B6616">
              <w:rPr>
                <w:rFonts w:ascii="Segoe UI" w:hAnsi="Segoe UI" w:cs="Segoe UI"/>
                <w:color w:val="000000"/>
                <w:sz w:val="24"/>
                <w:szCs w:val="24"/>
              </w:rPr>
              <w:t xml:space="preserve"> became apparent that there was not enough information in either document to get a comprehensive sense of the potential adverse environmental impacts of the BWRX-300 modular reactor. There was also insufficient information to develop a clear understanding of how the BWRX-300 modular reactors would interact more generally with the local environment.  </w:t>
            </w:r>
            <w:r w:rsidRPr="007B6616">
              <w:rPr>
                <w:rFonts w:ascii="Segoe UI" w:hAnsi="Segoe UI" w:cs="Segoe UI"/>
                <w:color w:val="000000"/>
                <w:sz w:val="24"/>
                <w:szCs w:val="24"/>
              </w:rPr>
              <w:br/>
              <w:t>For example, neither the EIS</w:t>
            </w:r>
            <w:r w:rsidRPr="007B6616">
              <w:rPr>
                <w:rFonts w:ascii="Segoe UI" w:hAnsi="Segoe UI" w:cs="Segoe UI"/>
                <w:color w:val="000000"/>
                <w:sz w:val="24"/>
                <w:szCs w:val="24"/>
              </w:rPr>
              <w:br/>
              <w:t>nor the PPE contain detailed information or data relating to:</w:t>
            </w:r>
            <w:r w:rsidRPr="007B6616">
              <w:rPr>
                <w:rFonts w:ascii="Segoe UI" w:hAnsi="Segoe UI" w:cs="Segoe UI"/>
                <w:color w:val="000000"/>
                <w:sz w:val="24"/>
                <w:szCs w:val="24"/>
              </w:rPr>
              <w:br/>
              <w:t>• The source, volumes, or discharge points for all identified contaminants to air,</w:t>
            </w:r>
            <w:r w:rsidRPr="007B6616">
              <w:rPr>
                <w:rFonts w:ascii="Segoe UI" w:hAnsi="Segoe UI" w:cs="Segoe UI"/>
                <w:color w:val="000000"/>
                <w:sz w:val="24"/>
                <w:szCs w:val="24"/>
              </w:rPr>
              <w:br/>
              <w:t>surface water, groundwater, and stormwater;</w:t>
            </w:r>
            <w:r w:rsidRPr="007B6616">
              <w:rPr>
                <w:rFonts w:ascii="Segoe UI" w:hAnsi="Segoe UI" w:cs="Segoe UI"/>
                <w:color w:val="000000"/>
                <w:sz w:val="24"/>
                <w:szCs w:val="24"/>
              </w:rPr>
              <w:br/>
              <w:t>• Exact treatment or mitigative efforts to address potential contaminants in liquid</w:t>
            </w:r>
            <w:r w:rsidRPr="007B6616">
              <w:rPr>
                <w:rFonts w:ascii="Segoe UI" w:hAnsi="Segoe UI" w:cs="Segoe UI"/>
                <w:color w:val="000000"/>
                <w:sz w:val="24"/>
                <w:szCs w:val="24"/>
              </w:rPr>
              <w:br/>
              <w:t>effluent, contaminant releases to air, groundwater or in stormwater; or</w:t>
            </w:r>
            <w:r w:rsidRPr="007B6616">
              <w:rPr>
                <w:rFonts w:ascii="Segoe UI" w:hAnsi="Segoe UI" w:cs="Segoe UI"/>
                <w:color w:val="000000"/>
                <w:sz w:val="24"/>
                <w:szCs w:val="24"/>
              </w:rPr>
              <w:br/>
              <w:t>• Additional environmental monitoring that will be required, should the BWRX-300</w:t>
            </w:r>
            <w:r w:rsidRPr="007B6616">
              <w:rPr>
                <w:rFonts w:ascii="Segoe UI" w:hAnsi="Segoe UI" w:cs="Segoe UI"/>
                <w:color w:val="000000"/>
                <w:sz w:val="24"/>
                <w:szCs w:val="24"/>
              </w:rPr>
              <w:br/>
              <w:t>modular reactor be approved, to ensure against any significant adverse</w:t>
            </w:r>
            <w:r w:rsidRPr="007B6616">
              <w:rPr>
                <w:rFonts w:ascii="Segoe UI" w:hAnsi="Segoe UI" w:cs="Segoe UI"/>
                <w:color w:val="000000"/>
                <w:sz w:val="24"/>
                <w:szCs w:val="24"/>
              </w:rPr>
              <w:br/>
              <w:t>environmental effects.</w:t>
            </w:r>
          </w:p>
          <w:p w14:paraId="6183C2E0" w14:textId="77777777" w:rsidR="00AE7DD4" w:rsidRPr="007B6616" w:rsidRDefault="00AE7DD4" w:rsidP="00856D3F">
            <w:pPr>
              <w:pStyle w:val="ListParagraph"/>
              <w:numPr>
                <w:ilvl w:val="0"/>
                <w:numId w:val="19"/>
              </w:numPr>
              <w:rPr>
                <w:rFonts w:ascii="Segoe UI" w:hAnsi="Segoe UI" w:cs="Segoe UI"/>
                <w:color w:val="000000"/>
                <w:sz w:val="24"/>
                <w:szCs w:val="24"/>
              </w:rPr>
            </w:pPr>
            <w:r w:rsidRPr="007B6616">
              <w:rPr>
                <w:rFonts w:ascii="Segoe UI" w:hAnsi="Segoe UI" w:cs="Segoe UI"/>
                <w:color w:val="000000"/>
                <w:sz w:val="24"/>
                <w:szCs w:val="24"/>
              </w:rPr>
              <w:t>Since the original EIS was prepared, it was considered in an Environmental Assessment that resulted in a series of additional information requests of OPG, and a final EA report in 2011 that specified the project could only proceed if the following studies were undertaken and resulted in findings that any identified environmental impacts could be mitigated to ensure against them becoming ‘significant’. These studies included: [TRUNCATED]</w:t>
            </w:r>
          </w:p>
          <w:p w14:paraId="616DF073" w14:textId="6E7E2483" w:rsidR="00AE7DD4" w:rsidRPr="007B6616" w:rsidRDefault="00AE7DD4" w:rsidP="00856D3F">
            <w:pPr>
              <w:pStyle w:val="ListParagraph"/>
              <w:numPr>
                <w:ilvl w:val="0"/>
                <w:numId w:val="19"/>
              </w:numPr>
              <w:rPr>
                <w:rFonts w:ascii="Segoe UI" w:hAnsi="Segoe UI" w:cs="Segoe UI"/>
                <w:color w:val="000000"/>
                <w:sz w:val="24"/>
                <w:szCs w:val="24"/>
              </w:rPr>
            </w:pPr>
            <w:r w:rsidRPr="007B6616">
              <w:rPr>
                <w:rFonts w:ascii="Segoe UI" w:hAnsi="Segoe UI" w:cs="Segoe UI"/>
                <w:color w:val="000000"/>
                <w:sz w:val="24"/>
                <w:szCs w:val="24"/>
              </w:rPr>
              <w:t>Neither the 2022 EIS nor PPE systematically address any of these studies or their progress. As such, it remains unclear to what extent this ongoing work has been conducted. It remains unclear whether the studies themselves have been included in the supporting documents referred to in the EIS.</w:t>
            </w:r>
          </w:p>
        </w:tc>
      </w:tr>
      <w:tr w:rsidR="00AE7DD4" w:rsidRPr="007B6616" w14:paraId="6D4856C7" w14:textId="77777777" w:rsidTr="007B6616">
        <w:tc>
          <w:tcPr>
            <w:tcW w:w="2830" w:type="dxa"/>
          </w:tcPr>
          <w:p w14:paraId="32E1513C"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Environmental Effects</w:t>
            </w:r>
          </w:p>
          <w:p w14:paraId="6BBC66FD" w14:textId="77777777" w:rsidR="00AE7DD4" w:rsidRPr="007B6616" w:rsidRDefault="00AE7DD4" w:rsidP="00C54C0E">
            <w:pPr>
              <w:pStyle w:val="ListParagraph"/>
              <w:ind w:left="0"/>
              <w:rPr>
                <w:rFonts w:ascii="Segoe UI" w:hAnsi="Segoe UI" w:cs="Segoe UI"/>
                <w:sz w:val="24"/>
                <w:szCs w:val="24"/>
                <w:lang w:val="en-US"/>
              </w:rPr>
            </w:pPr>
          </w:p>
          <w:p w14:paraId="4E61BD83" w14:textId="77777777" w:rsidR="00AE7DD4" w:rsidRPr="007B6616" w:rsidRDefault="00AE7DD4" w:rsidP="00C54C0E">
            <w:pPr>
              <w:pStyle w:val="ListParagraph"/>
              <w:ind w:left="0"/>
              <w:rPr>
                <w:rFonts w:ascii="Segoe UI" w:hAnsi="Segoe UI" w:cs="Segoe UI"/>
                <w:sz w:val="24"/>
                <w:szCs w:val="24"/>
                <w:lang w:val="en-US"/>
              </w:rPr>
            </w:pPr>
          </w:p>
          <w:p w14:paraId="0091A932" w14:textId="77777777" w:rsidR="00AE7DD4" w:rsidRPr="007B6616" w:rsidRDefault="00AE7DD4" w:rsidP="00C54C0E">
            <w:pPr>
              <w:pStyle w:val="ListParagraph"/>
              <w:ind w:left="0"/>
              <w:rPr>
                <w:rFonts w:ascii="Segoe UI" w:hAnsi="Segoe UI" w:cs="Segoe UI"/>
                <w:sz w:val="24"/>
                <w:szCs w:val="24"/>
                <w:lang w:val="en-US"/>
              </w:rPr>
            </w:pPr>
          </w:p>
          <w:p w14:paraId="02151814" w14:textId="77777777" w:rsidR="00AE7DD4" w:rsidRPr="007B6616" w:rsidRDefault="00AE7DD4" w:rsidP="00C54C0E">
            <w:pPr>
              <w:pStyle w:val="ListParagraph"/>
              <w:ind w:left="0"/>
              <w:rPr>
                <w:rFonts w:ascii="Segoe UI" w:hAnsi="Segoe UI" w:cs="Segoe UI"/>
                <w:sz w:val="24"/>
                <w:szCs w:val="24"/>
                <w:lang w:val="en-US"/>
              </w:rPr>
            </w:pPr>
          </w:p>
          <w:p w14:paraId="5F2F681D" w14:textId="77777777" w:rsidR="00AE7DD4" w:rsidRPr="007B6616" w:rsidRDefault="00AE7DD4" w:rsidP="00C54C0E">
            <w:pPr>
              <w:pStyle w:val="ListParagraph"/>
              <w:ind w:left="0"/>
              <w:rPr>
                <w:rFonts w:ascii="Segoe UI" w:hAnsi="Segoe UI" w:cs="Segoe UI"/>
                <w:sz w:val="24"/>
                <w:szCs w:val="24"/>
                <w:lang w:val="en-US"/>
              </w:rPr>
            </w:pPr>
          </w:p>
          <w:p w14:paraId="53DDAE7E" w14:textId="77777777" w:rsidR="00AE7DD4" w:rsidRPr="007B6616" w:rsidRDefault="00AE7DD4" w:rsidP="00C54C0E">
            <w:pPr>
              <w:pStyle w:val="ListParagraph"/>
              <w:ind w:left="0"/>
              <w:rPr>
                <w:rFonts w:ascii="Segoe UI" w:hAnsi="Segoe UI" w:cs="Segoe UI"/>
                <w:sz w:val="24"/>
                <w:szCs w:val="24"/>
                <w:lang w:val="en-US"/>
              </w:rPr>
            </w:pPr>
          </w:p>
          <w:p w14:paraId="7FFC6530" w14:textId="77777777" w:rsidR="00AE7DD4" w:rsidRPr="007B6616" w:rsidRDefault="00AE7DD4" w:rsidP="00C54C0E">
            <w:pPr>
              <w:pStyle w:val="ListParagraph"/>
              <w:ind w:left="0"/>
              <w:rPr>
                <w:rFonts w:ascii="Segoe UI" w:hAnsi="Segoe UI" w:cs="Segoe UI"/>
                <w:sz w:val="24"/>
                <w:szCs w:val="24"/>
                <w:lang w:val="en-US"/>
              </w:rPr>
            </w:pPr>
          </w:p>
          <w:p w14:paraId="1CF99C4C" w14:textId="77777777" w:rsidR="00AE7DD4" w:rsidRPr="007B6616" w:rsidRDefault="00AE7DD4" w:rsidP="00C54C0E">
            <w:pPr>
              <w:pStyle w:val="ListParagraph"/>
              <w:ind w:left="0"/>
              <w:rPr>
                <w:rFonts w:ascii="Segoe UI" w:hAnsi="Segoe UI" w:cs="Segoe UI"/>
                <w:sz w:val="24"/>
                <w:szCs w:val="24"/>
                <w:lang w:val="en-US"/>
              </w:rPr>
            </w:pPr>
          </w:p>
          <w:p w14:paraId="73B80545" w14:textId="77777777" w:rsidR="00AE7DD4" w:rsidRPr="007B6616" w:rsidRDefault="00AE7DD4" w:rsidP="00C54C0E">
            <w:pPr>
              <w:pStyle w:val="ListParagraph"/>
              <w:ind w:left="0"/>
              <w:rPr>
                <w:rFonts w:ascii="Segoe UI" w:hAnsi="Segoe UI" w:cs="Segoe UI"/>
                <w:sz w:val="24"/>
                <w:szCs w:val="24"/>
                <w:lang w:val="en-US"/>
              </w:rPr>
            </w:pPr>
          </w:p>
          <w:p w14:paraId="780A5B40"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Mitigation Measures</w:t>
            </w:r>
          </w:p>
          <w:p w14:paraId="168C27C9" w14:textId="77777777" w:rsidR="00AE7DD4" w:rsidRPr="007B6616" w:rsidRDefault="00AE7DD4" w:rsidP="00C54C0E">
            <w:pPr>
              <w:pStyle w:val="ListParagraph"/>
              <w:ind w:left="0"/>
              <w:rPr>
                <w:rFonts w:ascii="Segoe UI" w:hAnsi="Segoe UI" w:cs="Segoe UI"/>
                <w:sz w:val="24"/>
                <w:szCs w:val="24"/>
                <w:lang w:val="en-US"/>
              </w:rPr>
            </w:pPr>
          </w:p>
          <w:p w14:paraId="1BC0D686" w14:textId="77777777" w:rsidR="00AE7DD4" w:rsidRPr="007B6616" w:rsidRDefault="00AE7DD4" w:rsidP="00C54C0E">
            <w:pPr>
              <w:pStyle w:val="ListParagraph"/>
              <w:ind w:left="0"/>
              <w:rPr>
                <w:rFonts w:ascii="Segoe UI" w:hAnsi="Segoe UI" w:cs="Segoe UI"/>
                <w:sz w:val="24"/>
                <w:szCs w:val="24"/>
                <w:lang w:val="en-US"/>
              </w:rPr>
            </w:pPr>
          </w:p>
          <w:p w14:paraId="2A922A58" w14:textId="77777777" w:rsidR="00AE7DD4" w:rsidRPr="007B6616" w:rsidRDefault="00AE7DD4" w:rsidP="00C54C0E">
            <w:pPr>
              <w:pStyle w:val="ListParagraph"/>
              <w:ind w:left="0"/>
              <w:rPr>
                <w:rFonts w:ascii="Segoe UI" w:hAnsi="Segoe UI" w:cs="Segoe UI"/>
                <w:sz w:val="24"/>
                <w:szCs w:val="24"/>
                <w:lang w:val="en-US"/>
              </w:rPr>
            </w:pPr>
          </w:p>
          <w:p w14:paraId="7C3ABBB0" w14:textId="77777777" w:rsidR="00AE7DD4" w:rsidRPr="007B6616" w:rsidRDefault="00AE7DD4" w:rsidP="00C54C0E">
            <w:pPr>
              <w:pStyle w:val="ListParagraph"/>
              <w:ind w:left="0"/>
              <w:rPr>
                <w:rFonts w:ascii="Segoe UI" w:hAnsi="Segoe UI" w:cs="Segoe UI"/>
                <w:sz w:val="24"/>
                <w:szCs w:val="24"/>
                <w:lang w:val="en-US"/>
              </w:rPr>
            </w:pPr>
          </w:p>
          <w:p w14:paraId="3AC65585" w14:textId="77777777" w:rsidR="00AE7DD4" w:rsidRPr="007B6616" w:rsidRDefault="00AE7DD4" w:rsidP="00C54C0E">
            <w:pPr>
              <w:pStyle w:val="ListParagraph"/>
              <w:ind w:left="0"/>
              <w:rPr>
                <w:rFonts w:ascii="Segoe UI" w:hAnsi="Segoe UI" w:cs="Segoe UI"/>
                <w:sz w:val="24"/>
                <w:szCs w:val="24"/>
                <w:lang w:val="en-US"/>
              </w:rPr>
            </w:pPr>
          </w:p>
          <w:p w14:paraId="4FCC44B9" w14:textId="77777777" w:rsidR="00AE7DD4" w:rsidRPr="007B6616" w:rsidRDefault="00AE7DD4" w:rsidP="00C54C0E">
            <w:pPr>
              <w:pStyle w:val="ListParagraph"/>
              <w:ind w:left="0"/>
              <w:rPr>
                <w:rFonts w:ascii="Segoe UI" w:hAnsi="Segoe UI" w:cs="Segoe UI"/>
                <w:sz w:val="24"/>
                <w:szCs w:val="24"/>
                <w:lang w:val="en-US"/>
              </w:rPr>
            </w:pPr>
          </w:p>
          <w:p w14:paraId="2F81310D" w14:textId="77777777" w:rsidR="00AE7DD4" w:rsidRPr="007B6616" w:rsidRDefault="00AE7DD4" w:rsidP="00C54C0E">
            <w:pPr>
              <w:pStyle w:val="ListParagraph"/>
              <w:ind w:left="0"/>
              <w:rPr>
                <w:rFonts w:ascii="Segoe UI" w:hAnsi="Segoe UI" w:cs="Segoe UI"/>
                <w:sz w:val="24"/>
                <w:szCs w:val="24"/>
                <w:lang w:val="en-US"/>
              </w:rPr>
            </w:pPr>
          </w:p>
          <w:p w14:paraId="5C619243" w14:textId="77777777" w:rsidR="00AE7DD4" w:rsidRPr="007B6616" w:rsidRDefault="00AE7DD4" w:rsidP="00C54C0E">
            <w:pPr>
              <w:pStyle w:val="ListParagraph"/>
              <w:ind w:left="0"/>
              <w:rPr>
                <w:rFonts w:ascii="Segoe UI" w:hAnsi="Segoe UI" w:cs="Segoe UI"/>
                <w:sz w:val="24"/>
                <w:szCs w:val="24"/>
                <w:lang w:val="en-US"/>
              </w:rPr>
            </w:pPr>
          </w:p>
          <w:p w14:paraId="597F56EA" w14:textId="77777777" w:rsidR="00AE7DD4" w:rsidRPr="007B6616" w:rsidRDefault="00AE7DD4" w:rsidP="00C54C0E">
            <w:pPr>
              <w:pStyle w:val="ListParagraph"/>
              <w:ind w:left="0"/>
              <w:rPr>
                <w:rFonts w:ascii="Segoe UI" w:hAnsi="Segoe UI" w:cs="Segoe UI"/>
                <w:sz w:val="24"/>
                <w:szCs w:val="24"/>
                <w:lang w:val="en-US"/>
              </w:rPr>
            </w:pPr>
          </w:p>
          <w:p w14:paraId="0AAFD429" w14:textId="77777777" w:rsidR="00AE7DD4" w:rsidRPr="007B6616" w:rsidRDefault="00AE7DD4" w:rsidP="00C54C0E">
            <w:pPr>
              <w:pStyle w:val="ListParagraph"/>
              <w:ind w:left="0"/>
              <w:rPr>
                <w:rFonts w:ascii="Segoe UI" w:hAnsi="Segoe UI" w:cs="Segoe UI"/>
                <w:sz w:val="24"/>
                <w:szCs w:val="24"/>
                <w:lang w:val="en-US"/>
              </w:rPr>
            </w:pPr>
          </w:p>
          <w:p w14:paraId="1ED9A010" w14:textId="77777777" w:rsidR="00AE7DD4" w:rsidRPr="007B6616" w:rsidRDefault="00AE7DD4" w:rsidP="00C54C0E">
            <w:pPr>
              <w:pStyle w:val="ListParagraph"/>
              <w:ind w:left="0"/>
              <w:rPr>
                <w:rFonts w:ascii="Segoe UI" w:hAnsi="Segoe UI" w:cs="Segoe UI"/>
                <w:sz w:val="24"/>
                <w:szCs w:val="24"/>
                <w:lang w:val="en-US"/>
              </w:rPr>
            </w:pPr>
          </w:p>
          <w:p w14:paraId="72F20A69" w14:textId="77777777" w:rsidR="00AE7DD4" w:rsidRPr="007B6616" w:rsidRDefault="00AE7DD4" w:rsidP="00C54C0E">
            <w:pPr>
              <w:pStyle w:val="ListParagraph"/>
              <w:ind w:left="0"/>
              <w:rPr>
                <w:rFonts w:ascii="Segoe UI" w:hAnsi="Segoe UI" w:cs="Segoe UI"/>
                <w:sz w:val="24"/>
                <w:szCs w:val="24"/>
                <w:lang w:val="en-US"/>
              </w:rPr>
            </w:pPr>
          </w:p>
          <w:p w14:paraId="20628822" w14:textId="77777777" w:rsidR="00AE7DD4" w:rsidRPr="007B6616" w:rsidRDefault="00AE7DD4" w:rsidP="00C54C0E">
            <w:pPr>
              <w:pStyle w:val="ListParagraph"/>
              <w:ind w:left="0"/>
              <w:rPr>
                <w:rFonts w:ascii="Segoe UI" w:hAnsi="Segoe UI" w:cs="Segoe UI"/>
                <w:sz w:val="24"/>
                <w:szCs w:val="24"/>
                <w:lang w:val="en-US"/>
              </w:rPr>
            </w:pPr>
          </w:p>
          <w:p w14:paraId="39DA6E8F" w14:textId="77777777" w:rsidR="00AE7DD4" w:rsidRPr="007B6616" w:rsidRDefault="00AE7DD4" w:rsidP="00C54C0E">
            <w:pPr>
              <w:pStyle w:val="ListParagraph"/>
              <w:ind w:left="0"/>
              <w:rPr>
                <w:rFonts w:ascii="Segoe UI" w:hAnsi="Segoe UI" w:cs="Segoe UI"/>
                <w:sz w:val="24"/>
                <w:szCs w:val="24"/>
                <w:lang w:val="en-US"/>
              </w:rPr>
            </w:pPr>
          </w:p>
          <w:p w14:paraId="4B8C6656" w14:textId="77777777" w:rsidR="00AE7DD4" w:rsidRPr="007B6616" w:rsidRDefault="00AE7DD4" w:rsidP="00C54C0E">
            <w:pPr>
              <w:pStyle w:val="ListParagraph"/>
              <w:ind w:left="0"/>
              <w:rPr>
                <w:rFonts w:ascii="Segoe UI" w:hAnsi="Segoe UI" w:cs="Segoe UI"/>
                <w:sz w:val="24"/>
                <w:szCs w:val="24"/>
                <w:lang w:val="en-US"/>
              </w:rPr>
            </w:pPr>
          </w:p>
          <w:p w14:paraId="56C58487" w14:textId="77777777" w:rsidR="00AE7DD4" w:rsidRPr="007B6616" w:rsidRDefault="00AE7DD4" w:rsidP="00C54C0E">
            <w:pPr>
              <w:pStyle w:val="ListParagraph"/>
              <w:ind w:left="0"/>
              <w:rPr>
                <w:rFonts w:ascii="Segoe UI" w:hAnsi="Segoe UI" w:cs="Segoe UI"/>
                <w:sz w:val="24"/>
                <w:szCs w:val="24"/>
                <w:lang w:val="en-US"/>
              </w:rPr>
            </w:pPr>
          </w:p>
          <w:p w14:paraId="4D9424B5" w14:textId="77777777" w:rsidR="00AE7DD4" w:rsidRPr="007B6616" w:rsidRDefault="00AE7DD4" w:rsidP="00C54C0E">
            <w:pPr>
              <w:pStyle w:val="ListParagraph"/>
              <w:ind w:left="0"/>
              <w:rPr>
                <w:rFonts w:ascii="Segoe UI" w:hAnsi="Segoe UI" w:cs="Segoe UI"/>
                <w:sz w:val="24"/>
                <w:szCs w:val="24"/>
                <w:lang w:val="en-US"/>
              </w:rPr>
            </w:pPr>
          </w:p>
          <w:p w14:paraId="09FC637C" w14:textId="77777777" w:rsidR="00AE7DD4" w:rsidRPr="007B6616" w:rsidRDefault="00AE7DD4" w:rsidP="00C54C0E">
            <w:pPr>
              <w:pStyle w:val="ListParagraph"/>
              <w:ind w:left="0"/>
              <w:rPr>
                <w:rFonts w:ascii="Segoe UI" w:hAnsi="Segoe UI" w:cs="Segoe UI"/>
                <w:sz w:val="24"/>
                <w:szCs w:val="24"/>
                <w:lang w:val="en-US"/>
              </w:rPr>
            </w:pPr>
          </w:p>
          <w:p w14:paraId="211EA3FF" w14:textId="77777777" w:rsidR="00AE7DD4" w:rsidRPr="007B6616" w:rsidRDefault="00AE7DD4" w:rsidP="00C54C0E">
            <w:pPr>
              <w:pStyle w:val="ListParagraph"/>
              <w:ind w:left="0"/>
              <w:rPr>
                <w:rFonts w:ascii="Segoe UI" w:hAnsi="Segoe UI" w:cs="Segoe UI"/>
                <w:sz w:val="24"/>
                <w:szCs w:val="24"/>
                <w:lang w:val="en-US"/>
              </w:rPr>
            </w:pPr>
          </w:p>
          <w:p w14:paraId="485D9F72" w14:textId="77777777" w:rsidR="00AE7DD4" w:rsidRPr="007B6616" w:rsidRDefault="00AE7DD4" w:rsidP="00C54C0E">
            <w:pPr>
              <w:pStyle w:val="ListParagraph"/>
              <w:ind w:left="0"/>
              <w:rPr>
                <w:rFonts w:ascii="Segoe UI" w:hAnsi="Segoe UI" w:cs="Segoe UI"/>
                <w:sz w:val="24"/>
                <w:szCs w:val="24"/>
                <w:lang w:val="en-US"/>
              </w:rPr>
            </w:pPr>
          </w:p>
          <w:p w14:paraId="7A745554" w14:textId="77777777" w:rsidR="00AE7DD4" w:rsidRPr="007B6616" w:rsidRDefault="00AE7DD4" w:rsidP="00C54C0E">
            <w:pPr>
              <w:pStyle w:val="ListParagraph"/>
              <w:ind w:left="0"/>
              <w:rPr>
                <w:rFonts w:ascii="Segoe UI" w:hAnsi="Segoe UI" w:cs="Segoe UI"/>
                <w:sz w:val="24"/>
                <w:szCs w:val="24"/>
                <w:lang w:val="en-US"/>
              </w:rPr>
            </w:pPr>
          </w:p>
          <w:p w14:paraId="33879751" w14:textId="77777777" w:rsidR="00AE7DD4" w:rsidRPr="007B6616" w:rsidRDefault="00AE7DD4" w:rsidP="00C54C0E">
            <w:pPr>
              <w:pStyle w:val="ListParagraph"/>
              <w:ind w:left="0"/>
              <w:rPr>
                <w:rFonts w:ascii="Segoe UI" w:hAnsi="Segoe UI" w:cs="Segoe UI"/>
                <w:sz w:val="24"/>
                <w:szCs w:val="24"/>
                <w:lang w:val="en-US"/>
              </w:rPr>
            </w:pPr>
          </w:p>
          <w:p w14:paraId="5D9BC90F" w14:textId="77777777" w:rsidR="00AE7DD4" w:rsidRPr="007B6616" w:rsidRDefault="00AE7DD4" w:rsidP="00C54C0E">
            <w:pPr>
              <w:pStyle w:val="ListParagraph"/>
              <w:ind w:left="0"/>
              <w:rPr>
                <w:rFonts w:ascii="Segoe UI" w:hAnsi="Segoe UI" w:cs="Segoe UI"/>
                <w:sz w:val="24"/>
                <w:szCs w:val="24"/>
                <w:lang w:val="en-US"/>
              </w:rPr>
            </w:pPr>
          </w:p>
          <w:p w14:paraId="2B6C5B9A" w14:textId="77777777" w:rsidR="00AE7DD4" w:rsidRPr="007B6616" w:rsidRDefault="00AE7DD4" w:rsidP="00C54C0E">
            <w:pPr>
              <w:pStyle w:val="ListParagraph"/>
              <w:ind w:left="0"/>
              <w:rPr>
                <w:rFonts w:ascii="Segoe UI" w:hAnsi="Segoe UI" w:cs="Segoe UI"/>
                <w:sz w:val="24"/>
                <w:szCs w:val="24"/>
                <w:lang w:val="en-US"/>
              </w:rPr>
            </w:pPr>
          </w:p>
          <w:p w14:paraId="46BA12EF" w14:textId="77777777" w:rsidR="00AE7DD4" w:rsidRPr="007B6616" w:rsidRDefault="00AE7DD4" w:rsidP="00C54C0E">
            <w:pPr>
              <w:pStyle w:val="ListParagraph"/>
              <w:ind w:left="0"/>
              <w:rPr>
                <w:rFonts w:ascii="Segoe UI" w:hAnsi="Segoe UI" w:cs="Segoe UI"/>
                <w:sz w:val="24"/>
                <w:szCs w:val="24"/>
                <w:lang w:val="en-US"/>
              </w:rPr>
            </w:pPr>
          </w:p>
          <w:p w14:paraId="0D241065" w14:textId="77777777" w:rsidR="00AE7DD4" w:rsidRPr="007B6616" w:rsidRDefault="00AE7DD4" w:rsidP="00C54C0E">
            <w:pPr>
              <w:pStyle w:val="ListParagraph"/>
              <w:ind w:left="0"/>
              <w:rPr>
                <w:rFonts w:ascii="Segoe UI" w:hAnsi="Segoe UI" w:cs="Segoe UI"/>
                <w:sz w:val="24"/>
                <w:szCs w:val="24"/>
                <w:lang w:val="en-US"/>
              </w:rPr>
            </w:pPr>
          </w:p>
          <w:p w14:paraId="784B0353" w14:textId="77777777" w:rsidR="00AE7DD4" w:rsidRPr="007B6616" w:rsidRDefault="00AE7DD4" w:rsidP="00C54C0E">
            <w:pPr>
              <w:pStyle w:val="ListParagraph"/>
              <w:ind w:left="0"/>
              <w:rPr>
                <w:rFonts w:ascii="Segoe UI" w:hAnsi="Segoe UI" w:cs="Segoe UI"/>
                <w:sz w:val="24"/>
                <w:szCs w:val="24"/>
                <w:lang w:val="en-US"/>
              </w:rPr>
            </w:pPr>
          </w:p>
          <w:p w14:paraId="478DE86A" w14:textId="77777777" w:rsidR="00AE7DD4" w:rsidRPr="007B6616" w:rsidRDefault="00AE7DD4" w:rsidP="00C54C0E">
            <w:pPr>
              <w:pStyle w:val="ListParagraph"/>
              <w:ind w:left="0"/>
              <w:rPr>
                <w:rFonts w:ascii="Segoe UI" w:hAnsi="Segoe UI" w:cs="Segoe UI"/>
                <w:sz w:val="24"/>
                <w:szCs w:val="24"/>
                <w:lang w:val="en-US"/>
              </w:rPr>
            </w:pPr>
          </w:p>
          <w:p w14:paraId="4295E278" w14:textId="77777777" w:rsidR="00AE7DD4" w:rsidRPr="007B6616" w:rsidRDefault="00AE7DD4" w:rsidP="00C54C0E">
            <w:pPr>
              <w:pStyle w:val="ListParagraph"/>
              <w:ind w:left="0"/>
              <w:rPr>
                <w:rFonts w:ascii="Segoe UI" w:hAnsi="Segoe UI" w:cs="Segoe UI"/>
                <w:sz w:val="24"/>
                <w:szCs w:val="24"/>
                <w:lang w:val="en-US"/>
              </w:rPr>
            </w:pPr>
          </w:p>
          <w:p w14:paraId="18882F34" w14:textId="77777777" w:rsidR="00AE7DD4" w:rsidRPr="007B6616" w:rsidRDefault="00AE7DD4" w:rsidP="00C54C0E">
            <w:pPr>
              <w:pStyle w:val="ListParagraph"/>
              <w:ind w:left="0"/>
              <w:rPr>
                <w:rFonts w:ascii="Segoe UI" w:hAnsi="Segoe UI" w:cs="Segoe UI"/>
                <w:sz w:val="24"/>
                <w:szCs w:val="24"/>
                <w:lang w:val="en-US"/>
              </w:rPr>
            </w:pPr>
          </w:p>
          <w:p w14:paraId="5C284613" w14:textId="77777777" w:rsidR="00AE7DD4" w:rsidRPr="007B6616" w:rsidRDefault="00AE7DD4" w:rsidP="00C54C0E">
            <w:pPr>
              <w:pStyle w:val="ListParagraph"/>
              <w:ind w:left="0"/>
              <w:rPr>
                <w:rFonts w:ascii="Segoe UI" w:hAnsi="Segoe UI" w:cs="Segoe UI"/>
                <w:sz w:val="24"/>
                <w:szCs w:val="24"/>
                <w:lang w:val="en-US"/>
              </w:rPr>
            </w:pPr>
          </w:p>
          <w:p w14:paraId="19DA398E" w14:textId="77777777" w:rsidR="00AE7DD4" w:rsidRPr="007B6616" w:rsidRDefault="00AE7DD4" w:rsidP="00C54C0E">
            <w:pPr>
              <w:pStyle w:val="ListParagraph"/>
              <w:ind w:left="0"/>
              <w:rPr>
                <w:rFonts w:ascii="Segoe UI" w:hAnsi="Segoe UI" w:cs="Segoe UI"/>
                <w:sz w:val="24"/>
                <w:szCs w:val="24"/>
                <w:lang w:val="en-US"/>
              </w:rPr>
            </w:pPr>
          </w:p>
          <w:p w14:paraId="720C5C5C" w14:textId="77777777" w:rsidR="00AE7DD4" w:rsidRPr="007B6616" w:rsidRDefault="00AE7DD4" w:rsidP="00C54C0E">
            <w:pPr>
              <w:pStyle w:val="ListParagraph"/>
              <w:ind w:left="0"/>
              <w:rPr>
                <w:rFonts w:ascii="Segoe UI" w:hAnsi="Segoe UI" w:cs="Segoe UI"/>
                <w:sz w:val="24"/>
                <w:szCs w:val="24"/>
                <w:lang w:val="en-US"/>
              </w:rPr>
            </w:pPr>
          </w:p>
          <w:p w14:paraId="3BE61D6D" w14:textId="77777777" w:rsidR="00AE7DD4" w:rsidRPr="007B6616" w:rsidRDefault="00AE7DD4" w:rsidP="00C54C0E">
            <w:pPr>
              <w:pStyle w:val="ListParagraph"/>
              <w:ind w:left="0"/>
              <w:rPr>
                <w:rFonts w:ascii="Segoe UI" w:hAnsi="Segoe UI" w:cs="Segoe UI"/>
                <w:sz w:val="24"/>
                <w:szCs w:val="24"/>
                <w:lang w:val="en-US"/>
              </w:rPr>
            </w:pPr>
          </w:p>
          <w:p w14:paraId="575197A9" w14:textId="77777777" w:rsidR="00AE7DD4" w:rsidRPr="007B6616" w:rsidRDefault="00AE7DD4" w:rsidP="00C54C0E">
            <w:pPr>
              <w:pStyle w:val="ListParagraph"/>
              <w:ind w:left="0"/>
              <w:rPr>
                <w:rFonts w:ascii="Segoe UI" w:hAnsi="Segoe UI" w:cs="Segoe UI"/>
                <w:sz w:val="24"/>
                <w:szCs w:val="24"/>
                <w:lang w:val="en-US"/>
              </w:rPr>
            </w:pPr>
          </w:p>
          <w:p w14:paraId="196E7D7A" w14:textId="77777777" w:rsidR="00AE7DD4" w:rsidRPr="007B6616" w:rsidRDefault="00AE7DD4" w:rsidP="00C54C0E">
            <w:pPr>
              <w:pStyle w:val="ListParagraph"/>
              <w:ind w:left="0"/>
              <w:rPr>
                <w:rFonts w:ascii="Segoe UI" w:hAnsi="Segoe UI" w:cs="Segoe UI"/>
                <w:sz w:val="24"/>
                <w:szCs w:val="24"/>
                <w:lang w:val="en-US"/>
              </w:rPr>
            </w:pPr>
          </w:p>
          <w:p w14:paraId="5E021D66" w14:textId="77777777" w:rsidR="00AE7DD4" w:rsidRPr="007B6616" w:rsidRDefault="00AE7DD4" w:rsidP="00C54C0E">
            <w:pPr>
              <w:pStyle w:val="ListParagraph"/>
              <w:ind w:left="0"/>
              <w:rPr>
                <w:rFonts w:ascii="Segoe UI" w:hAnsi="Segoe UI" w:cs="Segoe UI"/>
                <w:sz w:val="24"/>
                <w:szCs w:val="24"/>
                <w:lang w:val="en-US"/>
              </w:rPr>
            </w:pPr>
          </w:p>
          <w:p w14:paraId="23F27CF3" w14:textId="77777777" w:rsidR="00AE7DD4" w:rsidRPr="007B6616" w:rsidRDefault="00AE7DD4" w:rsidP="00C54C0E">
            <w:pPr>
              <w:pStyle w:val="ListParagraph"/>
              <w:ind w:left="0"/>
              <w:rPr>
                <w:rFonts w:ascii="Segoe UI" w:hAnsi="Segoe UI" w:cs="Segoe UI"/>
                <w:sz w:val="24"/>
                <w:szCs w:val="24"/>
                <w:lang w:val="en-US"/>
              </w:rPr>
            </w:pPr>
          </w:p>
          <w:p w14:paraId="0E7466C8" w14:textId="77777777" w:rsidR="00AE7DD4" w:rsidRPr="007B6616" w:rsidRDefault="00AE7DD4" w:rsidP="00C54C0E">
            <w:pPr>
              <w:pStyle w:val="ListParagraph"/>
              <w:ind w:left="0"/>
              <w:rPr>
                <w:rFonts w:ascii="Segoe UI" w:hAnsi="Segoe UI" w:cs="Segoe UI"/>
                <w:sz w:val="24"/>
                <w:szCs w:val="24"/>
                <w:lang w:val="en-US"/>
              </w:rPr>
            </w:pPr>
          </w:p>
          <w:p w14:paraId="32A13274" w14:textId="77777777" w:rsidR="00AE7DD4" w:rsidRPr="007B6616" w:rsidRDefault="00AE7DD4" w:rsidP="00C54C0E">
            <w:pPr>
              <w:pStyle w:val="ListParagraph"/>
              <w:ind w:left="0"/>
              <w:rPr>
                <w:rFonts w:ascii="Segoe UI" w:hAnsi="Segoe UI" w:cs="Segoe UI"/>
                <w:sz w:val="24"/>
                <w:szCs w:val="24"/>
                <w:lang w:val="en-US"/>
              </w:rPr>
            </w:pPr>
          </w:p>
          <w:p w14:paraId="02A39D46" w14:textId="77777777" w:rsidR="00AE7DD4" w:rsidRPr="007B6616" w:rsidRDefault="00AE7DD4" w:rsidP="00C54C0E">
            <w:pPr>
              <w:pStyle w:val="ListParagraph"/>
              <w:ind w:left="0"/>
              <w:rPr>
                <w:rFonts w:ascii="Segoe UI" w:hAnsi="Segoe UI" w:cs="Segoe UI"/>
                <w:sz w:val="24"/>
                <w:szCs w:val="24"/>
                <w:lang w:val="en-US"/>
              </w:rPr>
            </w:pPr>
          </w:p>
          <w:p w14:paraId="6335554D" w14:textId="77777777" w:rsidR="00AE7DD4" w:rsidRPr="007B6616" w:rsidRDefault="00AE7DD4" w:rsidP="00C54C0E">
            <w:pPr>
              <w:pStyle w:val="ListParagraph"/>
              <w:ind w:left="0"/>
              <w:rPr>
                <w:rFonts w:ascii="Segoe UI" w:hAnsi="Segoe UI" w:cs="Segoe UI"/>
                <w:sz w:val="24"/>
                <w:szCs w:val="24"/>
                <w:lang w:val="en-US"/>
              </w:rPr>
            </w:pPr>
          </w:p>
          <w:p w14:paraId="42660535" w14:textId="77777777" w:rsidR="00AE7DD4" w:rsidRPr="007B6616" w:rsidRDefault="00AE7DD4" w:rsidP="00C54C0E">
            <w:pPr>
              <w:pStyle w:val="ListParagraph"/>
              <w:ind w:left="0"/>
              <w:rPr>
                <w:rFonts w:ascii="Segoe UI" w:hAnsi="Segoe UI" w:cs="Segoe UI"/>
                <w:sz w:val="24"/>
                <w:szCs w:val="24"/>
                <w:lang w:val="en-US"/>
              </w:rPr>
            </w:pPr>
          </w:p>
          <w:p w14:paraId="36883685" w14:textId="77777777" w:rsidR="00AE7DD4" w:rsidRPr="007B6616" w:rsidRDefault="00AE7DD4" w:rsidP="00C54C0E">
            <w:pPr>
              <w:pStyle w:val="ListParagraph"/>
              <w:ind w:left="0"/>
              <w:rPr>
                <w:rFonts w:ascii="Segoe UI" w:hAnsi="Segoe UI" w:cs="Segoe UI"/>
                <w:sz w:val="24"/>
                <w:szCs w:val="24"/>
                <w:lang w:val="en-US"/>
              </w:rPr>
            </w:pPr>
          </w:p>
          <w:p w14:paraId="7F08B7DD" w14:textId="77777777" w:rsidR="00AE7DD4" w:rsidRPr="007B6616" w:rsidRDefault="00AE7DD4" w:rsidP="00C54C0E">
            <w:pPr>
              <w:pStyle w:val="ListParagraph"/>
              <w:ind w:left="0"/>
              <w:rPr>
                <w:rFonts w:ascii="Segoe UI" w:hAnsi="Segoe UI" w:cs="Segoe UI"/>
                <w:sz w:val="24"/>
                <w:szCs w:val="24"/>
                <w:lang w:val="en-US"/>
              </w:rPr>
            </w:pPr>
          </w:p>
          <w:p w14:paraId="07B1D478" w14:textId="77777777" w:rsidR="00AE7DD4" w:rsidRPr="007B6616" w:rsidRDefault="00AE7DD4" w:rsidP="00C54C0E">
            <w:pPr>
              <w:pStyle w:val="ListParagraph"/>
              <w:ind w:left="0"/>
              <w:rPr>
                <w:rFonts w:ascii="Segoe UI" w:hAnsi="Segoe UI" w:cs="Segoe UI"/>
                <w:sz w:val="24"/>
                <w:szCs w:val="24"/>
                <w:lang w:val="en-US"/>
              </w:rPr>
            </w:pPr>
          </w:p>
          <w:p w14:paraId="062F8A3D" w14:textId="77777777" w:rsidR="00AE7DD4" w:rsidRPr="007B6616" w:rsidRDefault="00AE7DD4" w:rsidP="00C54C0E">
            <w:pPr>
              <w:pStyle w:val="ListParagraph"/>
              <w:ind w:left="0"/>
              <w:rPr>
                <w:rFonts w:ascii="Segoe UI" w:hAnsi="Segoe UI" w:cs="Segoe UI"/>
                <w:sz w:val="24"/>
                <w:szCs w:val="24"/>
                <w:lang w:val="en-US"/>
              </w:rPr>
            </w:pPr>
          </w:p>
          <w:p w14:paraId="17E0AEA9" w14:textId="77777777" w:rsidR="00AE7DD4" w:rsidRPr="007B6616" w:rsidRDefault="00AE7DD4" w:rsidP="00C54C0E">
            <w:pPr>
              <w:pStyle w:val="ListParagraph"/>
              <w:ind w:left="0"/>
              <w:rPr>
                <w:rFonts w:ascii="Segoe UI" w:hAnsi="Segoe UI" w:cs="Segoe UI"/>
                <w:sz w:val="24"/>
                <w:szCs w:val="24"/>
                <w:lang w:val="en-US"/>
              </w:rPr>
            </w:pPr>
          </w:p>
          <w:p w14:paraId="100B99D0" w14:textId="77777777" w:rsidR="00AE7DD4" w:rsidRPr="007B6616" w:rsidRDefault="00AE7DD4" w:rsidP="00C54C0E">
            <w:pPr>
              <w:pStyle w:val="ListParagraph"/>
              <w:ind w:left="0"/>
              <w:rPr>
                <w:rFonts w:ascii="Segoe UI" w:hAnsi="Segoe UI" w:cs="Segoe UI"/>
                <w:sz w:val="24"/>
                <w:szCs w:val="24"/>
                <w:lang w:val="en-US"/>
              </w:rPr>
            </w:pPr>
          </w:p>
          <w:p w14:paraId="50CEAB46" w14:textId="77777777" w:rsidR="00AE7DD4" w:rsidRPr="007B6616" w:rsidRDefault="00AE7DD4" w:rsidP="00C54C0E">
            <w:pPr>
              <w:pStyle w:val="ListParagraph"/>
              <w:ind w:left="0"/>
              <w:rPr>
                <w:rFonts w:ascii="Segoe UI" w:hAnsi="Segoe UI" w:cs="Segoe UI"/>
                <w:sz w:val="24"/>
                <w:szCs w:val="24"/>
                <w:lang w:val="en-US"/>
              </w:rPr>
            </w:pPr>
          </w:p>
          <w:p w14:paraId="056F21B3" w14:textId="77777777" w:rsidR="00AE7DD4" w:rsidRPr="007B6616" w:rsidRDefault="00AE7DD4" w:rsidP="00C54C0E">
            <w:pPr>
              <w:pStyle w:val="ListParagraph"/>
              <w:ind w:left="0"/>
              <w:rPr>
                <w:rFonts w:ascii="Segoe UI" w:hAnsi="Segoe UI" w:cs="Segoe UI"/>
                <w:sz w:val="24"/>
                <w:szCs w:val="24"/>
                <w:lang w:val="en-US"/>
              </w:rPr>
            </w:pPr>
          </w:p>
          <w:p w14:paraId="43D5AADB" w14:textId="77777777" w:rsidR="00AE7DD4" w:rsidRPr="007B6616" w:rsidRDefault="00AE7DD4" w:rsidP="00C54C0E">
            <w:pPr>
              <w:pStyle w:val="ListParagraph"/>
              <w:ind w:left="0"/>
              <w:rPr>
                <w:rFonts w:ascii="Segoe UI" w:hAnsi="Segoe UI" w:cs="Segoe UI"/>
                <w:sz w:val="24"/>
                <w:szCs w:val="24"/>
                <w:lang w:val="en-US"/>
              </w:rPr>
            </w:pPr>
          </w:p>
          <w:p w14:paraId="19A7503D" w14:textId="77777777" w:rsidR="00AE7DD4" w:rsidRPr="007B6616" w:rsidRDefault="00AE7DD4" w:rsidP="00C54C0E">
            <w:pPr>
              <w:pStyle w:val="ListParagraph"/>
              <w:ind w:left="0"/>
              <w:rPr>
                <w:rFonts w:ascii="Segoe UI" w:hAnsi="Segoe UI" w:cs="Segoe UI"/>
                <w:sz w:val="24"/>
                <w:szCs w:val="24"/>
                <w:lang w:val="en-US"/>
              </w:rPr>
            </w:pPr>
          </w:p>
          <w:p w14:paraId="0AF063F1" w14:textId="77777777" w:rsidR="00AE7DD4" w:rsidRPr="007B6616" w:rsidRDefault="00AE7DD4" w:rsidP="00C54C0E">
            <w:pPr>
              <w:pStyle w:val="ListParagraph"/>
              <w:ind w:left="0"/>
              <w:rPr>
                <w:rFonts w:ascii="Segoe UI" w:hAnsi="Segoe UI" w:cs="Segoe UI"/>
                <w:sz w:val="24"/>
                <w:szCs w:val="24"/>
                <w:lang w:val="en-US"/>
              </w:rPr>
            </w:pPr>
          </w:p>
          <w:p w14:paraId="27E9831D" w14:textId="77777777" w:rsidR="00AE7DD4" w:rsidRPr="007B6616" w:rsidRDefault="00AE7DD4" w:rsidP="00C54C0E">
            <w:pPr>
              <w:pStyle w:val="ListParagraph"/>
              <w:ind w:left="0"/>
              <w:rPr>
                <w:rFonts w:ascii="Segoe UI" w:hAnsi="Segoe UI" w:cs="Segoe UI"/>
                <w:sz w:val="24"/>
                <w:szCs w:val="24"/>
                <w:lang w:val="en-US"/>
              </w:rPr>
            </w:pPr>
          </w:p>
          <w:p w14:paraId="7371209A" w14:textId="77777777" w:rsidR="00AE7DD4" w:rsidRPr="007B6616" w:rsidRDefault="00AE7DD4" w:rsidP="00C54C0E">
            <w:pPr>
              <w:pStyle w:val="ListParagraph"/>
              <w:ind w:left="0"/>
              <w:rPr>
                <w:rFonts w:ascii="Segoe UI" w:hAnsi="Segoe UI" w:cs="Segoe UI"/>
                <w:sz w:val="24"/>
                <w:szCs w:val="24"/>
                <w:lang w:val="en-US"/>
              </w:rPr>
            </w:pPr>
          </w:p>
          <w:p w14:paraId="57508D50" w14:textId="77777777" w:rsidR="00AE7DD4" w:rsidRPr="007B6616" w:rsidRDefault="00AE7DD4" w:rsidP="00C54C0E">
            <w:pPr>
              <w:pStyle w:val="ListParagraph"/>
              <w:ind w:left="0"/>
              <w:rPr>
                <w:rFonts w:ascii="Segoe UI" w:hAnsi="Segoe UI" w:cs="Segoe UI"/>
                <w:sz w:val="24"/>
                <w:szCs w:val="24"/>
                <w:lang w:val="en-US"/>
              </w:rPr>
            </w:pPr>
          </w:p>
          <w:p w14:paraId="5F675F06" w14:textId="77777777" w:rsidR="00AE7DD4" w:rsidRPr="007B6616" w:rsidRDefault="00AE7DD4" w:rsidP="00C54C0E">
            <w:pPr>
              <w:pStyle w:val="ListParagraph"/>
              <w:ind w:left="0"/>
              <w:rPr>
                <w:rFonts w:ascii="Segoe UI" w:hAnsi="Segoe UI" w:cs="Segoe UI"/>
                <w:sz w:val="24"/>
                <w:szCs w:val="24"/>
                <w:lang w:val="en-US"/>
              </w:rPr>
            </w:pPr>
          </w:p>
          <w:p w14:paraId="166B2AE0" w14:textId="77777777" w:rsidR="00AE7DD4" w:rsidRPr="007B6616" w:rsidRDefault="00AE7DD4" w:rsidP="00C54C0E">
            <w:pPr>
              <w:pStyle w:val="ListParagraph"/>
              <w:ind w:left="0"/>
              <w:rPr>
                <w:rFonts w:ascii="Segoe UI" w:hAnsi="Segoe UI" w:cs="Segoe UI"/>
                <w:sz w:val="24"/>
                <w:szCs w:val="24"/>
                <w:lang w:val="en-US"/>
              </w:rPr>
            </w:pPr>
          </w:p>
          <w:p w14:paraId="69763121" w14:textId="77777777" w:rsidR="00AE7DD4" w:rsidRPr="007B6616" w:rsidRDefault="00AE7DD4" w:rsidP="00C54C0E">
            <w:pPr>
              <w:pStyle w:val="ListParagraph"/>
              <w:ind w:left="0"/>
              <w:rPr>
                <w:rFonts w:ascii="Segoe UI" w:hAnsi="Segoe UI" w:cs="Segoe UI"/>
                <w:sz w:val="24"/>
                <w:szCs w:val="24"/>
                <w:lang w:val="en-US"/>
              </w:rPr>
            </w:pPr>
          </w:p>
          <w:p w14:paraId="37428636" w14:textId="77777777" w:rsidR="00AE7DD4" w:rsidRPr="007B6616" w:rsidRDefault="00AE7DD4" w:rsidP="00C54C0E">
            <w:pPr>
              <w:pStyle w:val="ListParagraph"/>
              <w:ind w:left="0"/>
              <w:rPr>
                <w:rFonts w:ascii="Segoe UI" w:hAnsi="Segoe UI" w:cs="Segoe UI"/>
                <w:sz w:val="24"/>
                <w:szCs w:val="24"/>
                <w:lang w:val="en-US"/>
              </w:rPr>
            </w:pPr>
          </w:p>
          <w:p w14:paraId="0405C715" w14:textId="77777777" w:rsidR="00AE7DD4" w:rsidRPr="007B6616" w:rsidRDefault="00AE7DD4" w:rsidP="00C54C0E">
            <w:pPr>
              <w:pStyle w:val="ListParagraph"/>
              <w:ind w:left="0"/>
              <w:rPr>
                <w:rFonts w:ascii="Segoe UI" w:hAnsi="Segoe UI" w:cs="Segoe UI"/>
                <w:sz w:val="24"/>
                <w:szCs w:val="24"/>
                <w:lang w:val="en-US"/>
              </w:rPr>
            </w:pPr>
          </w:p>
          <w:p w14:paraId="2E4C3F31" w14:textId="77777777" w:rsidR="00AE7DD4" w:rsidRPr="007B6616" w:rsidRDefault="00AE7DD4" w:rsidP="00C54C0E">
            <w:pPr>
              <w:pStyle w:val="ListParagraph"/>
              <w:ind w:left="0"/>
              <w:rPr>
                <w:rFonts w:ascii="Segoe UI" w:hAnsi="Segoe UI" w:cs="Segoe UI"/>
                <w:sz w:val="24"/>
                <w:szCs w:val="24"/>
                <w:lang w:val="en-US"/>
              </w:rPr>
            </w:pPr>
          </w:p>
          <w:p w14:paraId="1289D2A3" w14:textId="77777777" w:rsidR="00AE7DD4" w:rsidRPr="007B6616" w:rsidRDefault="00AE7DD4" w:rsidP="00C54C0E">
            <w:pPr>
              <w:pStyle w:val="ListParagraph"/>
              <w:ind w:left="0"/>
              <w:rPr>
                <w:rFonts w:ascii="Segoe UI" w:hAnsi="Segoe UI" w:cs="Segoe UI"/>
                <w:sz w:val="24"/>
                <w:szCs w:val="24"/>
                <w:lang w:val="en-US"/>
              </w:rPr>
            </w:pPr>
          </w:p>
          <w:p w14:paraId="78BA81EA" w14:textId="77777777" w:rsidR="00AE7DD4" w:rsidRPr="007B6616" w:rsidRDefault="00AE7DD4" w:rsidP="00C54C0E">
            <w:pPr>
              <w:pStyle w:val="ListParagraph"/>
              <w:ind w:left="0"/>
              <w:rPr>
                <w:rFonts w:ascii="Segoe UI" w:hAnsi="Segoe UI" w:cs="Segoe UI"/>
                <w:sz w:val="24"/>
                <w:szCs w:val="24"/>
                <w:lang w:val="en-US"/>
              </w:rPr>
            </w:pPr>
          </w:p>
          <w:p w14:paraId="58C8DED8" w14:textId="77777777" w:rsidR="00AE7DD4" w:rsidRPr="007B6616" w:rsidRDefault="00AE7DD4" w:rsidP="00C54C0E">
            <w:pPr>
              <w:pStyle w:val="ListParagraph"/>
              <w:ind w:left="0"/>
              <w:rPr>
                <w:rFonts w:ascii="Segoe UI" w:hAnsi="Segoe UI" w:cs="Segoe UI"/>
                <w:sz w:val="24"/>
                <w:szCs w:val="24"/>
                <w:lang w:val="en-US"/>
              </w:rPr>
            </w:pPr>
          </w:p>
          <w:p w14:paraId="58B3BD5B" w14:textId="77777777" w:rsidR="00AE7DD4" w:rsidRPr="007B6616" w:rsidRDefault="00AE7DD4" w:rsidP="00C54C0E">
            <w:pPr>
              <w:pStyle w:val="ListParagraph"/>
              <w:ind w:left="0"/>
              <w:rPr>
                <w:rFonts w:ascii="Segoe UI" w:hAnsi="Segoe UI" w:cs="Segoe UI"/>
                <w:sz w:val="24"/>
                <w:szCs w:val="24"/>
                <w:lang w:val="en-US"/>
              </w:rPr>
            </w:pPr>
          </w:p>
          <w:p w14:paraId="3E7407FE" w14:textId="77777777" w:rsidR="00AE7DD4" w:rsidRPr="007B6616" w:rsidRDefault="00AE7DD4" w:rsidP="00C54C0E">
            <w:pPr>
              <w:pStyle w:val="ListParagraph"/>
              <w:ind w:left="0"/>
              <w:rPr>
                <w:rFonts w:ascii="Segoe UI" w:hAnsi="Segoe UI" w:cs="Segoe UI"/>
                <w:sz w:val="24"/>
                <w:szCs w:val="24"/>
                <w:lang w:val="en-US"/>
              </w:rPr>
            </w:pPr>
          </w:p>
          <w:p w14:paraId="75A7ECAF" w14:textId="77777777" w:rsidR="00AE7DD4" w:rsidRPr="007B6616" w:rsidRDefault="00AE7DD4" w:rsidP="00C54C0E">
            <w:pPr>
              <w:pStyle w:val="ListParagraph"/>
              <w:ind w:left="0"/>
              <w:rPr>
                <w:rFonts w:ascii="Segoe UI" w:hAnsi="Segoe UI" w:cs="Segoe UI"/>
                <w:sz w:val="24"/>
                <w:szCs w:val="24"/>
                <w:lang w:val="en-US"/>
              </w:rPr>
            </w:pPr>
          </w:p>
          <w:p w14:paraId="35CFC940" w14:textId="77777777" w:rsidR="00AE7DD4" w:rsidRPr="007B6616" w:rsidRDefault="00AE7DD4" w:rsidP="00C54C0E">
            <w:pPr>
              <w:pStyle w:val="ListParagraph"/>
              <w:ind w:left="0"/>
              <w:rPr>
                <w:rFonts w:ascii="Segoe UI" w:hAnsi="Segoe UI" w:cs="Segoe UI"/>
                <w:sz w:val="24"/>
                <w:szCs w:val="24"/>
                <w:lang w:val="en-US"/>
              </w:rPr>
            </w:pPr>
          </w:p>
          <w:p w14:paraId="66F4319A" w14:textId="77777777" w:rsidR="00AE7DD4" w:rsidRPr="007B6616" w:rsidRDefault="00AE7DD4" w:rsidP="00C54C0E">
            <w:pPr>
              <w:pStyle w:val="ListParagraph"/>
              <w:ind w:left="0"/>
              <w:rPr>
                <w:rFonts w:ascii="Segoe UI" w:hAnsi="Segoe UI" w:cs="Segoe UI"/>
                <w:sz w:val="24"/>
                <w:szCs w:val="24"/>
                <w:lang w:val="en-US"/>
              </w:rPr>
            </w:pPr>
          </w:p>
          <w:p w14:paraId="7B4D2BAB" w14:textId="77777777" w:rsidR="00AE7DD4" w:rsidRPr="007B6616" w:rsidRDefault="00AE7DD4" w:rsidP="00C54C0E">
            <w:pPr>
              <w:pStyle w:val="ListParagraph"/>
              <w:ind w:left="0"/>
              <w:rPr>
                <w:rFonts w:ascii="Segoe UI" w:hAnsi="Segoe UI" w:cs="Segoe UI"/>
                <w:sz w:val="24"/>
                <w:szCs w:val="24"/>
                <w:lang w:val="en-US"/>
              </w:rPr>
            </w:pPr>
          </w:p>
          <w:p w14:paraId="72096AF5" w14:textId="4E2286D6" w:rsidR="00AE7DD4" w:rsidRPr="007B6616" w:rsidRDefault="007B6616" w:rsidP="00C54C0E">
            <w:pPr>
              <w:pStyle w:val="ListParagraph"/>
              <w:ind w:left="0"/>
              <w:rPr>
                <w:rFonts w:ascii="Segoe UI" w:hAnsi="Segoe UI" w:cs="Segoe UI"/>
                <w:sz w:val="24"/>
                <w:szCs w:val="24"/>
                <w:lang w:val="en-US"/>
              </w:rPr>
            </w:pPr>
            <w:r>
              <w:rPr>
                <w:rFonts w:ascii="Segoe UI" w:hAnsi="Segoe UI" w:cs="Segoe UI"/>
                <w:sz w:val="24"/>
                <w:szCs w:val="24"/>
                <w:lang w:val="en-US"/>
              </w:rPr>
              <w:t>Spe</w:t>
            </w:r>
            <w:r w:rsidR="00AE7DD4" w:rsidRPr="007B6616">
              <w:rPr>
                <w:rFonts w:ascii="Segoe UI" w:hAnsi="Segoe UI" w:cs="Segoe UI"/>
                <w:sz w:val="24"/>
                <w:szCs w:val="24"/>
                <w:lang w:val="en-US"/>
              </w:rPr>
              <w:t>cies at Risk</w:t>
            </w:r>
          </w:p>
        </w:tc>
        <w:tc>
          <w:tcPr>
            <w:tcW w:w="6520" w:type="dxa"/>
          </w:tcPr>
          <w:p w14:paraId="7C3C6459" w14:textId="1AE58DA9"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The species listed in this quote include Cultural Keystone Species. While the EIS does not identify a risk to these species, they should be prioritized in any monitoring of the</w:t>
            </w:r>
            <w:r w:rsidRPr="007B6616">
              <w:rPr>
                <w:rFonts w:ascii="Segoe UI" w:hAnsi="Segoe UI" w:cs="Segoe UI"/>
                <w:color w:val="000000"/>
                <w:sz w:val="24"/>
                <w:szCs w:val="24"/>
              </w:rPr>
              <w:br/>
              <w:t>aquatic community to ensure that there is no adverse effect on any Culturally Significant species in this</w:t>
            </w:r>
            <w:r w:rsidRPr="007B6616">
              <w:rPr>
                <w:rFonts w:ascii="Segoe UI" w:hAnsi="Segoe UI" w:cs="Segoe UI"/>
                <w:color w:val="000000"/>
                <w:sz w:val="24"/>
                <w:szCs w:val="24"/>
              </w:rPr>
              <w:br/>
              <w:t>community.</w:t>
            </w:r>
          </w:p>
          <w:p w14:paraId="0F9EEBA7" w14:textId="467BC4E8"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 xml:space="preserve">Wetlands are incredibly important to </w:t>
            </w:r>
            <w:r w:rsidR="007B6616">
              <w:rPr>
                <w:rFonts w:ascii="Segoe UI" w:hAnsi="Segoe UI" w:cs="Segoe UI"/>
                <w:color w:val="000000"/>
                <w:sz w:val="24"/>
                <w:szCs w:val="24"/>
              </w:rPr>
              <w:t xml:space="preserve">Indigenous </w:t>
            </w:r>
            <w:r w:rsidRPr="007B6616">
              <w:rPr>
                <w:rFonts w:ascii="Segoe UI" w:hAnsi="Segoe UI" w:cs="Segoe UI"/>
                <w:color w:val="000000"/>
                <w:sz w:val="24"/>
                <w:szCs w:val="24"/>
              </w:rPr>
              <w:t xml:space="preserve">culture and way of life and are protected by Treaty Rights. Any impacts to a wetland as part of this project are an infringement on these constitutionally protected rights. Furthermore, under the 2008 Water Declaration: “First Nations in Ontario have our own territories that includes the waters, which include the rain waters, waterfalls, rivers, streams, creeks, lakes, mountain springs, swamp springs, bedrock water veins, snow, oceans, icebergs, and the seas”. </w:t>
            </w:r>
            <w:r w:rsidR="007B6616">
              <w:rPr>
                <w:rFonts w:ascii="Segoe UI" w:hAnsi="Segoe UI" w:cs="Segoe UI"/>
                <w:color w:val="000000"/>
                <w:sz w:val="24"/>
                <w:szCs w:val="24"/>
              </w:rPr>
              <w:t xml:space="preserve">Indigenous Nations </w:t>
            </w:r>
            <w:r w:rsidRPr="007B6616">
              <w:rPr>
                <w:rFonts w:ascii="Segoe UI" w:hAnsi="Segoe UI" w:cs="Segoe UI"/>
                <w:color w:val="000000"/>
                <w:sz w:val="24"/>
                <w:szCs w:val="24"/>
              </w:rPr>
              <w:t>have rights and responsibilities to these wetlands and ponds on their territory.</w:t>
            </w:r>
          </w:p>
          <w:p w14:paraId="17DB6FB4" w14:textId="77777777"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Proponents should provide more clarity on the negligible changes expected to occur in wetlands and</w:t>
            </w:r>
            <w:r w:rsidRPr="007B6616">
              <w:rPr>
                <w:rFonts w:ascii="Segoe UI" w:hAnsi="Segoe UI" w:cs="Segoe UI"/>
                <w:color w:val="000000"/>
                <w:sz w:val="24"/>
                <w:szCs w:val="24"/>
              </w:rPr>
              <w:br/>
              <w:t>ponds and demonstrate how they will continue to monitor wetlands and ponds to ensure they are</w:t>
            </w:r>
            <w:r w:rsidRPr="007B6616">
              <w:rPr>
                <w:rFonts w:ascii="Segoe UI" w:hAnsi="Segoe UI" w:cs="Segoe UI"/>
                <w:color w:val="000000"/>
                <w:sz w:val="24"/>
                <w:szCs w:val="24"/>
              </w:rPr>
              <w:br/>
              <w:t>protected during and after the project.</w:t>
            </w:r>
          </w:p>
          <w:p w14:paraId="0DDE4D14" w14:textId="45C419D3"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 xml:space="preserve">Many amphibians and reptiles are Culturally Significant species and are protected under treaty rights. </w:t>
            </w:r>
            <w:r w:rsidR="007B6616">
              <w:rPr>
                <w:rFonts w:ascii="Segoe UI" w:hAnsi="Segoe UI" w:cs="Segoe UI"/>
                <w:color w:val="000000"/>
                <w:sz w:val="24"/>
                <w:szCs w:val="24"/>
              </w:rPr>
              <w:t xml:space="preserve">Indigenous Nations </w:t>
            </w:r>
            <w:r w:rsidRPr="007B6616">
              <w:rPr>
                <w:rFonts w:ascii="Segoe UI" w:hAnsi="Segoe UI" w:cs="Segoe UI"/>
                <w:color w:val="000000"/>
                <w:sz w:val="24"/>
                <w:szCs w:val="24"/>
              </w:rPr>
              <w:t>also have rights and responsibilities to the wetland and ponds on their territory.</w:t>
            </w:r>
          </w:p>
          <w:p w14:paraId="1709A1D1" w14:textId="2E6D5BED"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The proponents need to clarify how they will be monitoring amphibian and reptile communities and habitat to ensure this project does not infringe on Inherent and Treaty rights. Wetland community surveys should be done prior to, and after construction to ensure the protection of wetland habitat and any Cultural Keystone Species making use of this habitat.</w:t>
            </w:r>
          </w:p>
          <w:p w14:paraId="1BD5BAD2" w14:textId="77777777"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Many Culturally significant species could be using this corridor and disruptions to their movement patterns can be disruptive to their overall health. This work may also affect harvesting and hunting in the area, particularly if it disrupts wildlife movement.</w:t>
            </w:r>
          </w:p>
          <w:p w14:paraId="1084A639" w14:textId="5DAF149C"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 xml:space="preserve">Have the proponents considered how this </w:t>
            </w:r>
            <w:r w:rsidR="007B6616" w:rsidRPr="007B6616">
              <w:rPr>
                <w:rFonts w:ascii="Segoe UI" w:hAnsi="Segoe UI" w:cs="Segoe UI"/>
                <w:color w:val="000000"/>
                <w:sz w:val="24"/>
                <w:szCs w:val="24"/>
              </w:rPr>
              <w:t>disruption</w:t>
            </w:r>
            <w:r w:rsidRPr="007B6616">
              <w:rPr>
                <w:rFonts w:ascii="Segoe UI" w:hAnsi="Segoe UI" w:cs="Segoe UI"/>
                <w:color w:val="000000"/>
                <w:sz w:val="24"/>
                <w:szCs w:val="24"/>
              </w:rPr>
              <w:t xml:space="preserve"> may infringe on inherent and treaty rights? Has there been considerations for how workers will interact with any </w:t>
            </w:r>
            <w:r w:rsidR="007B6616">
              <w:rPr>
                <w:rFonts w:ascii="Segoe UI" w:hAnsi="Segoe UI" w:cs="Segoe UI"/>
                <w:color w:val="000000"/>
                <w:sz w:val="24"/>
                <w:szCs w:val="24"/>
              </w:rPr>
              <w:t xml:space="preserve">Indigenous People </w:t>
            </w:r>
            <w:r w:rsidRPr="007B6616">
              <w:rPr>
                <w:rFonts w:ascii="Segoe UI" w:hAnsi="Segoe UI" w:cs="Segoe UI"/>
                <w:color w:val="000000"/>
                <w:sz w:val="24"/>
                <w:szCs w:val="24"/>
              </w:rPr>
              <w:t>they may encounter practicing these rights during the project?</w:t>
            </w:r>
          </w:p>
          <w:p w14:paraId="6972C327" w14:textId="2DC9A742"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The proponents should clarify the process they are taking to reduce disruption and other associated harm to wildlife (</w:t>
            </w:r>
            <w:r w:rsidR="009D7B56" w:rsidRPr="007B6616">
              <w:rPr>
                <w:rFonts w:ascii="Segoe UI" w:hAnsi="Segoe UI" w:cs="Segoe UI"/>
                <w:color w:val="000000"/>
                <w:sz w:val="24"/>
                <w:szCs w:val="24"/>
              </w:rPr>
              <w:t>e.g.,</w:t>
            </w:r>
            <w:r w:rsidRPr="007B6616">
              <w:rPr>
                <w:rFonts w:ascii="Segoe UI" w:hAnsi="Segoe UI" w:cs="Segoe UI"/>
                <w:color w:val="000000"/>
                <w:sz w:val="24"/>
                <w:szCs w:val="24"/>
              </w:rPr>
              <w:t xml:space="preserve"> vehicle mortality). Proponents should clarify how this work will not infringe on Inherent and Treaty Rights.</w:t>
            </w:r>
          </w:p>
          <w:p w14:paraId="7A26CFB7" w14:textId="59EBF245"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 xml:space="preserve">Many birds, especially raptors, are Culturally Significant species. The full effects of this habitat loss should be known, </w:t>
            </w:r>
            <w:r w:rsidR="007B6616" w:rsidRPr="007B6616">
              <w:rPr>
                <w:rFonts w:ascii="Segoe UI" w:hAnsi="Segoe UI" w:cs="Segoe UI"/>
                <w:color w:val="000000"/>
                <w:sz w:val="24"/>
                <w:szCs w:val="24"/>
              </w:rPr>
              <w:t>specifically</w:t>
            </w:r>
            <w:r w:rsidRPr="007B6616">
              <w:rPr>
                <w:rFonts w:ascii="Segoe UI" w:hAnsi="Segoe UI" w:cs="Segoe UI"/>
                <w:color w:val="000000"/>
                <w:sz w:val="24"/>
                <w:szCs w:val="24"/>
              </w:rPr>
              <w:t xml:space="preserve"> which birds might be affected and how, and a plan to restore habitat should be in place.</w:t>
            </w:r>
          </w:p>
          <w:p w14:paraId="38AA4B83" w14:textId="3A9AA596"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 xml:space="preserve">The proponents should clarify how they will monitor the bird communities, including the identification of any Cultural Keystone Species, that may be affected by project activities. Proponents should also specify how they will restore this habitat after the project and work with </w:t>
            </w:r>
            <w:r w:rsidR="007B6616">
              <w:rPr>
                <w:rFonts w:ascii="Segoe UI" w:hAnsi="Segoe UI" w:cs="Segoe UI"/>
                <w:color w:val="000000"/>
                <w:sz w:val="24"/>
                <w:szCs w:val="24"/>
              </w:rPr>
              <w:t>Indigenous Nations t</w:t>
            </w:r>
            <w:r w:rsidRPr="007B6616">
              <w:rPr>
                <w:rFonts w:ascii="Segoe UI" w:hAnsi="Segoe UI" w:cs="Segoe UI"/>
                <w:color w:val="000000"/>
                <w:sz w:val="24"/>
                <w:szCs w:val="24"/>
              </w:rPr>
              <w:t xml:space="preserve">o develop these restoration </w:t>
            </w:r>
            <w:r w:rsidR="009D7B56" w:rsidRPr="007B6616">
              <w:rPr>
                <w:rFonts w:ascii="Segoe UI" w:hAnsi="Segoe UI" w:cs="Segoe UI"/>
                <w:color w:val="000000"/>
                <w:sz w:val="24"/>
                <w:szCs w:val="24"/>
              </w:rPr>
              <w:t>plans.</w:t>
            </w:r>
          </w:p>
          <w:p w14:paraId="1A26DC49" w14:textId="77777777"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As indicated in the EIS, four bat species identified on the DNNP site are listed as endangered (Little Brown Myotis, Northern Myotis, Eastern Small-footed Myotis, and Tri-colored Bat). It is important that these species and their habitat are protected from any adverse effects related to this project.</w:t>
            </w:r>
          </w:p>
          <w:p w14:paraId="3A00094B" w14:textId="6B5F335C" w:rsidR="00AE7DD4" w:rsidRPr="007B6616" w:rsidRDefault="007B6616" w:rsidP="00856D3F">
            <w:pPr>
              <w:pStyle w:val="ListParagraph"/>
              <w:numPr>
                <w:ilvl w:val="0"/>
                <w:numId w:val="20"/>
              </w:numPr>
              <w:rPr>
                <w:rFonts w:ascii="Segoe UI" w:hAnsi="Segoe UI" w:cs="Segoe UI"/>
                <w:color w:val="000000"/>
                <w:sz w:val="24"/>
                <w:szCs w:val="24"/>
              </w:rPr>
            </w:pPr>
            <w:r>
              <w:rPr>
                <w:rFonts w:ascii="Segoe UI" w:hAnsi="Segoe UI" w:cs="Segoe UI"/>
                <w:color w:val="000000"/>
                <w:sz w:val="24"/>
                <w:szCs w:val="24"/>
              </w:rPr>
              <w:t>Re</w:t>
            </w:r>
            <w:r w:rsidR="00AE7DD4" w:rsidRPr="007B6616">
              <w:rPr>
                <w:rFonts w:ascii="Segoe UI" w:hAnsi="Segoe UI" w:cs="Segoe UI"/>
                <w:color w:val="000000"/>
                <w:sz w:val="24"/>
                <w:szCs w:val="24"/>
              </w:rPr>
              <w:t xml:space="preserve">sponse </w:t>
            </w:r>
            <w:r>
              <w:rPr>
                <w:rFonts w:ascii="Segoe UI" w:hAnsi="Segoe UI" w:cs="Segoe UI"/>
                <w:color w:val="000000"/>
                <w:sz w:val="24"/>
                <w:szCs w:val="24"/>
              </w:rPr>
              <w:t xml:space="preserve">has been provided to OPG </w:t>
            </w:r>
            <w:r w:rsidR="00AE7DD4" w:rsidRPr="007B6616">
              <w:rPr>
                <w:rFonts w:ascii="Segoe UI" w:hAnsi="Segoe UI" w:cs="Segoe UI"/>
                <w:color w:val="000000"/>
                <w:sz w:val="24"/>
                <w:szCs w:val="24"/>
              </w:rPr>
              <w:t xml:space="preserve">that speaks to the need for monitoring the effect of dust and noise on the bat populations and the invertebrate community, specifically aerial insectivore prey for bats. The suggestions given in that document related to monitoring should be incorporated into this project. </w:t>
            </w:r>
          </w:p>
          <w:p w14:paraId="2C99DEED" w14:textId="77777777"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 xml:space="preserve">There is no mention of Monarch butterflies (Danaus </w:t>
            </w:r>
            <w:proofErr w:type="spellStart"/>
            <w:r w:rsidRPr="007B6616">
              <w:rPr>
                <w:rFonts w:ascii="Segoe UI" w:hAnsi="Segoe UI" w:cs="Segoe UI"/>
                <w:color w:val="000000"/>
                <w:sz w:val="24"/>
                <w:szCs w:val="24"/>
              </w:rPr>
              <w:t>plexippus</w:t>
            </w:r>
            <w:proofErr w:type="spellEnd"/>
            <w:r w:rsidRPr="007B6616">
              <w:rPr>
                <w:rFonts w:ascii="Segoe UI" w:hAnsi="Segoe UI" w:cs="Segoe UI"/>
                <w:color w:val="000000"/>
                <w:sz w:val="24"/>
                <w:szCs w:val="24"/>
              </w:rPr>
              <w:t>) in this area, do they use this habitat? Monarch butterflies are listed as endangered by the Committee on the Status of Endangered Wildlife in Canada (COSEWIC. 2021). There is also no mention of milkweed (Asclepias spp.), a species critical in the monarch lifecycle. Have surveys for milkweed been carried out? Does OPG have a plan in place to restore lost habitat or lost milkweed plants which are essential components in the monarch life cycle?</w:t>
            </w:r>
          </w:p>
          <w:p w14:paraId="058E25BB" w14:textId="1E4275F4" w:rsidR="00AE7DD4" w:rsidRPr="007B6616" w:rsidRDefault="00AE7DD4" w:rsidP="00856D3F">
            <w:pPr>
              <w:pStyle w:val="ListParagraph"/>
              <w:numPr>
                <w:ilvl w:val="0"/>
                <w:numId w:val="20"/>
              </w:numPr>
              <w:rPr>
                <w:rFonts w:ascii="Segoe UI" w:hAnsi="Segoe UI" w:cs="Segoe UI"/>
                <w:color w:val="000000"/>
                <w:sz w:val="24"/>
                <w:szCs w:val="24"/>
              </w:rPr>
            </w:pPr>
            <w:r w:rsidRPr="007B6616">
              <w:rPr>
                <w:rFonts w:ascii="Segoe UI" w:hAnsi="Segoe UI" w:cs="Segoe UI"/>
                <w:color w:val="000000"/>
                <w:sz w:val="24"/>
                <w:szCs w:val="24"/>
              </w:rPr>
              <w:t xml:space="preserve">Proponents should clarify how they will monitor the area, including an assessment of milkweed plants, especially in areas that will be affected by project activities. Proponents should also specify how they will restore this habitat and work with </w:t>
            </w:r>
            <w:r w:rsidR="007B6616">
              <w:rPr>
                <w:rFonts w:ascii="Segoe UI" w:hAnsi="Segoe UI" w:cs="Segoe UI"/>
                <w:color w:val="000000"/>
                <w:sz w:val="24"/>
                <w:szCs w:val="24"/>
              </w:rPr>
              <w:t>Indigenous Nations</w:t>
            </w:r>
            <w:r w:rsidRPr="007B6616">
              <w:rPr>
                <w:rFonts w:ascii="Segoe UI" w:hAnsi="Segoe UI" w:cs="Segoe UI"/>
                <w:color w:val="000000"/>
                <w:sz w:val="24"/>
                <w:szCs w:val="24"/>
              </w:rPr>
              <w:t xml:space="preserve"> to develop this restoration protocol.</w:t>
            </w:r>
          </w:p>
          <w:p w14:paraId="6E59275F" w14:textId="010F6B42" w:rsidR="00AE7DD4" w:rsidRPr="007B6616" w:rsidRDefault="00AE7DD4" w:rsidP="00856D3F">
            <w:pPr>
              <w:pStyle w:val="ListParagraph"/>
              <w:numPr>
                <w:ilvl w:val="0"/>
                <w:numId w:val="20"/>
              </w:numPr>
              <w:rPr>
                <w:rFonts w:ascii="Segoe UI" w:hAnsi="Segoe UI" w:cs="Segoe UI"/>
                <w:b/>
                <w:bCs/>
                <w:sz w:val="24"/>
                <w:szCs w:val="24"/>
              </w:rPr>
            </w:pPr>
            <w:r w:rsidRPr="007B6616">
              <w:rPr>
                <w:rFonts w:ascii="Segoe UI" w:hAnsi="Segoe UI" w:cs="Segoe UI"/>
                <w:color w:val="000000"/>
                <w:sz w:val="24"/>
                <w:szCs w:val="24"/>
              </w:rPr>
              <w:t>Why were Cultural Keystone Species not included or mentioned within the</w:t>
            </w:r>
            <w:r w:rsidRPr="007B6616">
              <w:rPr>
                <w:rFonts w:ascii="Segoe UI" w:hAnsi="Segoe UI" w:cs="Segoe UI"/>
                <w:color w:val="000000"/>
                <w:sz w:val="24"/>
                <w:szCs w:val="24"/>
              </w:rPr>
              <w:br/>
              <w:t>document?</w:t>
            </w:r>
          </w:p>
        </w:tc>
      </w:tr>
      <w:tr w:rsidR="00C65073" w:rsidRPr="007B6616" w14:paraId="0C2034CE" w14:textId="77777777" w:rsidTr="00C150DB">
        <w:tc>
          <w:tcPr>
            <w:tcW w:w="9350" w:type="dxa"/>
            <w:gridSpan w:val="2"/>
            <w:shd w:val="clear" w:color="auto" w:fill="D9D9D9" w:themeFill="background1" w:themeFillShade="D9"/>
          </w:tcPr>
          <w:p w14:paraId="1E5DB61D" w14:textId="19A00DC8" w:rsidR="00C65073" w:rsidRPr="007B6616" w:rsidRDefault="00C65073" w:rsidP="00C54C0E">
            <w:pPr>
              <w:pStyle w:val="ListParagraph"/>
              <w:ind w:left="0"/>
              <w:rPr>
                <w:rFonts w:ascii="Segoe UI" w:hAnsi="Segoe UI" w:cs="Segoe UI"/>
                <w:b/>
                <w:bCs/>
                <w:sz w:val="24"/>
                <w:szCs w:val="24"/>
                <w:lang w:val="en-US"/>
              </w:rPr>
            </w:pPr>
            <w:r w:rsidRPr="007B6616">
              <w:rPr>
                <w:rFonts w:ascii="Segoe UI" w:hAnsi="Segoe UI" w:cs="Segoe UI"/>
                <w:b/>
                <w:bCs/>
                <w:sz w:val="24"/>
                <w:szCs w:val="24"/>
                <w:lang w:val="en-US"/>
              </w:rPr>
              <w:t>General</w:t>
            </w:r>
          </w:p>
        </w:tc>
      </w:tr>
      <w:tr w:rsidR="00AE7DD4" w:rsidRPr="007B6616" w14:paraId="3BD6F548" w14:textId="77777777" w:rsidTr="007B6616">
        <w:tc>
          <w:tcPr>
            <w:tcW w:w="2830" w:type="dxa"/>
          </w:tcPr>
          <w:p w14:paraId="1F2D0624"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Availability of Documents</w:t>
            </w:r>
          </w:p>
          <w:p w14:paraId="53F81124" w14:textId="77777777" w:rsidR="00AE7DD4" w:rsidRPr="007B6616" w:rsidRDefault="00AE7DD4" w:rsidP="00C54C0E">
            <w:pPr>
              <w:pStyle w:val="ListParagraph"/>
              <w:ind w:left="0"/>
              <w:rPr>
                <w:rFonts w:ascii="Segoe UI" w:hAnsi="Segoe UI" w:cs="Segoe UI"/>
                <w:sz w:val="24"/>
                <w:szCs w:val="24"/>
                <w:lang w:val="en-US"/>
              </w:rPr>
            </w:pPr>
          </w:p>
          <w:p w14:paraId="6AE61F0B" w14:textId="77777777" w:rsidR="00AE7DD4" w:rsidRPr="007B6616" w:rsidRDefault="00AE7DD4" w:rsidP="00C54C0E">
            <w:pPr>
              <w:pStyle w:val="ListParagraph"/>
              <w:ind w:left="0"/>
              <w:rPr>
                <w:rFonts w:ascii="Segoe UI" w:hAnsi="Segoe UI" w:cs="Segoe UI"/>
                <w:sz w:val="24"/>
                <w:szCs w:val="24"/>
                <w:lang w:val="en-US"/>
              </w:rPr>
            </w:pPr>
          </w:p>
          <w:p w14:paraId="10401F6A" w14:textId="77777777" w:rsidR="00AE7DD4" w:rsidRPr="007B6616" w:rsidRDefault="00AE7DD4" w:rsidP="00C54C0E">
            <w:pPr>
              <w:pStyle w:val="ListParagraph"/>
              <w:ind w:left="0"/>
              <w:rPr>
                <w:rFonts w:ascii="Segoe UI" w:hAnsi="Segoe UI" w:cs="Segoe UI"/>
                <w:sz w:val="24"/>
                <w:szCs w:val="24"/>
                <w:lang w:val="en-US"/>
              </w:rPr>
            </w:pPr>
          </w:p>
          <w:p w14:paraId="706C04FF" w14:textId="77777777" w:rsidR="00AE7DD4" w:rsidRPr="007B6616" w:rsidRDefault="00AE7DD4" w:rsidP="00C54C0E">
            <w:pPr>
              <w:pStyle w:val="ListParagraph"/>
              <w:ind w:left="0"/>
              <w:rPr>
                <w:rFonts w:ascii="Segoe UI" w:hAnsi="Segoe UI" w:cs="Segoe UI"/>
                <w:sz w:val="24"/>
                <w:szCs w:val="24"/>
                <w:lang w:val="en-US"/>
              </w:rPr>
            </w:pPr>
          </w:p>
          <w:p w14:paraId="1424C796" w14:textId="77777777" w:rsidR="00AE7DD4" w:rsidRPr="007B6616" w:rsidRDefault="00AE7DD4" w:rsidP="00C54C0E">
            <w:pPr>
              <w:pStyle w:val="ListParagraph"/>
              <w:ind w:left="0"/>
              <w:rPr>
                <w:rFonts w:ascii="Segoe UI" w:hAnsi="Segoe UI" w:cs="Segoe UI"/>
                <w:sz w:val="24"/>
                <w:szCs w:val="24"/>
                <w:lang w:val="en-US"/>
              </w:rPr>
            </w:pPr>
          </w:p>
          <w:p w14:paraId="20F10E14" w14:textId="77777777" w:rsidR="00AE7DD4" w:rsidRPr="007B6616" w:rsidRDefault="00AE7DD4" w:rsidP="00C54C0E">
            <w:pPr>
              <w:pStyle w:val="ListParagraph"/>
              <w:ind w:left="0"/>
              <w:rPr>
                <w:rFonts w:ascii="Segoe UI" w:hAnsi="Segoe UI" w:cs="Segoe UI"/>
                <w:sz w:val="24"/>
                <w:szCs w:val="24"/>
                <w:lang w:val="en-US"/>
              </w:rPr>
            </w:pPr>
          </w:p>
          <w:p w14:paraId="0C64215E" w14:textId="77777777" w:rsidR="00AE7DD4" w:rsidRPr="007B6616" w:rsidRDefault="00AE7DD4" w:rsidP="00C54C0E">
            <w:pPr>
              <w:pStyle w:val="ListParagraph"/>
              <w:ind w:left="0"/>
              <w:rPr>
                <w:rFonts w:ascii="Segoe UI" w:hAnsi="Segoe UI" w:cs="Segoe UI"/>
                <w:sz w:val="24"/>
                <w:szCs w:val="24"/>
                <w:lang w:val="en-US"/>
              </w:rPr>
            </w:pPr>
          </w:p>
          <w:p w14:paraId="371A927C" w14:textId="77777777" w:rsidR="00AE7DD4" w:rsidRPr="007B6616" w:rsidRDefault="00AE7DD4" w:rsidP="00C54C0E">
            <w:pPr>
              <w:pStyle w:val="ListParagraph"/>
              <w:ind w:left="0"/>
              <w:rPr>
                <w:rFonts w:ascii="Segoe UI" w:hAnsi="Segoe UI" w:cs="Segoe UI"/>
                <w:sz w:val="24"/>
                <w:szCs w:val="24"/>
                <w:lang w:val="en-US"/>
              </w:rPr>
            </w:pPr>
          </w:p>
          <w:p w14:paraId="6BC31A1B" w14:textId="77777777" w:rsidR="00AE7DD4" w:rsidRPr="007B6616" w:rsidRDefault="00AE7DD4" w:rsidP="00C54C0E">
            <w:pPr>
              <w:pStyle w:val="ListParagraph"/>
              <w:ind w:left="0"/>
              <w:rPr>
                <w:rFonts w:ascii="Segoe UI" w:hAnsi="Segoe UI" w:cs="Segoe UI"/>
                <w:sz w:val="24"/>
                <w:szCs w:val="24"/>
                <w:lang w:val="en-US"/>
              </w:rPr>
            </w:pPr>
          </w:p>
          <w:p w14:paraId="01996B2C" w14:textId="77777777" w:rsidR="00AE7DD4" w:rsidRPr="007B6616" w:rsidRDefault="00AE7DD4" w:rsidP="00C54C0E">
            <w:pPr>
              <w:pStyle w:val="ListParagraph"/>
              <w:ind w:left="0"/>
              <w:rPr>
                <w:rFonts w:ascii="Segoe UI" w:hAnsi="Segoe UI" w:cs="Segoe UI"/>
                <w:sz w:val="24"/>
                <w:szCs w:val="24"/>
                <w:lang w:val="en-US"/>
              </w:rPr>
            </w:pPr>
          </w:p>
          <w:p w14:paraId="28DC20DC" w14:textId="77777777" w:rsidR="00AE7DD4" w:rsidRPr="007B6616" w:rsidRDefault="00AE7DD4" w:rsidP="00C54C0E">
            <w:pPr>
              <w:pStyle w:val="ListParagraph"/>
              <w:ind w:left="0"/>
              <w:rPr>
                <w:rFonts w:ascii="Segoe UI" w:hAnsi="Segoe UI" w:cs="Segoe UI"/>
                <w:sz w:val="24"/>
                <w:szCs w:val="24"/>
                <w:lang w:val="en-US"/>
              </w:rPr>
            </w:pPr>
          </w:p>
          <w:p w14:paraId="3FAEDE7F" w14:textId="77777777" w:rsidR="00AE7DD4" w:rsidRPr="007B6616" w:rsidRDefault="00AE7DD4" w:rsidP="00C54C0E">
            <w:pPr>
              <w:pStyle w:val="ListParagraph"/>
              <w:ind w:left="0"/>
              <w:rPr>
                <w:rFonts w:ascii="Segoe UI" w:hAnsi="Segoe UI" w:cs="Segoe UI"/>
                <w:sz w:val="24"/>
                <w:szCs w:val="24"/>
                <w:lang w:val="en-US"/>
              </w:rPr>
            </w:pPr>
          </w:p>
          <w:p w14:paraId="6C28E175" w14:textId="77777777" w:rsidR="00AE7DD4" w:rsidRPr="007B6616" w:rsidRDefault="00AE7DD4" w:rsidP="00C54C0E">
            <w:pPr>
              <w:pStyle w:val="ListParagraph"/>
              <w:ind w:left="0"/>
              <w:rPr>
                <w:rFonts w:ascii="Segoe UI" w:hAnsi="Segoe UI" w:cs="Segoe UI"/>
                <w:sz w:val="24"/>
                <w:szCs w:val="24"/>
                <w:lang w:val="en-US"/>
              </w:rPr>
            </w:pPr>
          </w:p>
          <w:p w14:paraId="74495DA8" w14:textId="77777777" w:rsidR="00AE7DD4" w:rsidRPr="007B6616" w:rsidRDefault="00AE7DD4" w:rsidP="00C54C0E">
            <w:pPr>
              <w:pStyle w:val="ListParagraph"/>
              <w:ind w:left="0"/>
              <w:rPr>
                <w:rFonts w:ascii="Segoe UI" w:hAnsi="Segoe UI" w:cs="Segoe UI"/>
                <w:sz w:val="24"/>
                <w:szCs w:val="24"/>
                <w:lang w:val="en-US"/>
              </w:rPr>
            </w:pPr>
          </w:p>
          <w:p w14:paraId="7B587F63" w14:textId="77777777" w:rsidR="00AE7DD4" w:rsidRPr="007B6616" w:rsidRDefault="00AE7DD4" w:rsidP="00C54C0E">
            <w:pPr>
              <w:pStyle w:val="ListParagraph"/>
              <w:ind w:left="0"/>
              <w:rPr>
                <w:rFonts w:ascii="Segoe UI" w:hAnsi="Segoe UI" w:cs="Segoe UI"/>
                <w:sz w:val="24"/>
                <w:szCs w:val="24"/>
                <w:lang w:val="en-US"/>
              </w:rPr>
            </w:pPr>
          </w:p>
          <w:p w14:paraId="052A18AF" w14:textId="77777777" w:rsidR="00AE7DD4" w:rsidRPr="007B6616" w:rsidRDefault="00AE7DD4" w:rsidP="00C54C0E">
            <w:pPr>
              <w:pStyle w:val="ListParagraph"/>
              <w:ind w:left="0"/>
              <w:rPr>
                <w:rFonts w:ascii="Segoe UI" w:hAnsi="Segoe UI" w:cs="Segoe UI"/>
                <w:sz w:val="24"/>
                <w:szCs w:val="24"/>
                <w:lang w:val="en-US"/>
              </w:rPr>
            </w:pPr>
          </w:p>
          <w:p w14:paraId="4AEEC0D5" w14:textId="77777777" w:rsidR="00AE7DD4" w:rsidRPr="007B6616" w:rsidRDefault="00AE7DD4" w:rsidP="00C54C0E">
            <w:pPr>
              <w:pStyle w:val="ListParagraph"/>
              <w:ind w:left="0"/>
              <w:rPr>
                <w:rFonts w:ascii="Segoe UI" w:hAnsi="Segoe UI" w:cs="Segoe UI"/>
                <w:sz w:val="24"/>
                <w:szCs w:val="24"/>
                <w:lang w:val="en-US"/>
              </w:rPr>
            </w:pPr>
          </w:p>
          <w:p w14:paraId="78446D17" w14:textId="77777777" w:rsidR="00AE7DD4" w:rsidRPr="007B6616" w:rsidRDefault="00AE7DD4" w:rsidP="00C54C0E">
            <w:pPr>
              <w:pStyle w:val="ListParagraph"/>
              <w:ind w:left="0"/>
              <w:rPr>
                <w:rFonts w:ascii="Segoe UI" w:hAnsi="Segoe UI" w:cs="Segoe UI"/>
                <w:sz w:val="24"/>
                <w:szCs w:val="24"/>
                <w:lang w:val="en-US"/>
              </w:rPr>
            </w:pPr>
          </w:p>
          <w:p w14:paraId="2670DC51" w14:textId="77777777" w:rsidR="00AE7DD4" w:rsidRPr="007B6616" w:rsidRDefault="00AE7DD4" w:rsidP="00C54C0E">
            <w:pPr>
              <w:pStyle w:val="ListParagraph"/>
              <w:ind w:left="0"/>
              <w:rPr>
                <w:rFonts w:ascii="Segoe UI" w:hAnsi="Segoe UI" w:cs="Segoe UI"/>
                <w:sz w:val="24"/>
                <w:szCs w:val="24"/>
                <w:lang w:val="en-US"/>
              </w:rPr>
            </w:pPr>
          </w:p>
          <w:p w14:paraId="49CDD4E6" w14:textId="77777777" w:rsidR="00AE7DD4" w:rsidRPr="007B6616" w:rsidRDefault="00AE7DD4" w:rsidP="00C54C0E">
            <w:pPr>
              <w:pStyle w:val="ListParagraph"/>
              <w:ind w:left="0"/>
              <w:rPr>
                <w:rFonts w:ascii="Segoe UI" w:hAnsi="Segoe UI" w:cs="Segoe UI"/>
                <w:sz w:val="24"/>
                <w:szCs w:val="24"/>
                <w:lang w:val="en-US"/>
              </w:rPr>
            </w:pPr>
          </w:p>
          <w:p w14:paraId="144CA28F" w14:textId="77777777" w:rsidR="00AE7DD4" w:rsidRPr="007B6616" w:rsidRDefault="00AE7DD4" w:rsidP="00C54C0E">
            <w:pPr>
              <w:pStyle w:val="ListParagraph"/>
              <w:ind w:left="0"/>
              <w:rPr>
                <w:rFonts w:ascii="Segoe UI" w:hAnsi="Segoe UI" w:cs="Segoe UI"/>
                <w:sz w:val="24"/>
                <w:szCs w:val="24"/>
                <w:lang w:val="en-US"/>
              </w:rPr>
            </w:pPr>
          </w:p>
          <w:p w14:paraId="68DDD9E3" w14:textId="77777777" w:rsidR="00AE7DD4" w:rsidRPr="007B6616" w:rsidRDefault="00AE7DD4" w:rsidP="00C54C0E">
            <w:pPr>
              <w:pStyle w:val="ListParagraph"/>
              <w:ind w:left="0"/>
              <w:rPr>
                <w:rFonts w:ascii="Segoe UI" w:hAnsi="Segoe UI" w:cs="Segoe UI"/>
                <w:sz w:val="24"/>
                <w:szCs w:val="24"/>
                <w:lang w:val="en-US"/>
              </w:rPr>
            </w:pPr>
          </w:p>
          <w:p w14:paraId="7C31870C" w14:textId="77777777" w:rsidR="00AE7DD4" w:rsidRPr="007B6616" w:rsidRDefault="00AE7DD4" w:rsidP="00C54C0E">
            <w:pPr>
              <w:pStyle w:val="ListParagraph"/>
              <w:ind w:left="0"/>
              <w:rPr>
                <w:rFonts w:ascii="Segoe UI" w:hAnsi="Segoe UI" w:cs="Segoe UI"/>
                <w:sz w:val="24"/>
                <w:szCs w:val="24"/>
                <w:lang w:val="en-US"/>
              </w:rPr>
            </w:pPr>
          </w:p>
          <w:p w14:paraId="6F83739B" w14:textId="77777777" w:rsidR="00AE7DD4" w:rsidRPr="007B6616" w:rsidRDefault="00AE7DD4" w:rsidP="00C54C0E">
            <w:pPr>
              <w:pStyle w:val="ListParagraph"/>
              <w:ind w:left="0"/>
              <w:rPr>
                <w:rFonts w:ascii="Segoe UI" w:hAnsi="Segoe UI" w:cs="Segoe UI"/>
                <w:sz w:val="24"/>
                <w:szCs w:val="24"/>
                <w:lang w:val="en-US"/>
              </w:rPr>
            </w:pPr>
          </w:p>
          <w:p w14:paraId="3EFEF08B" w14:textId="77777777" w:rsidR="00AE7DD4" w:rsidRPr="007B6616" w:rsidRDefault="00AE7DD4" w:rsidP="00C54C0E">
            <w:pPr>
              <w:pStyle w:val="ListParagraph"/>
              <w:ind w:left="0"/>
              <w:rPr>
                <w:rFonts w:ascii="Segoe UI" w:hAnsi="Segoe UI" w:cs="Segoe UI"/>
                <w:sz w:val="24"/>
                <w:szCs w:val="24"/>
                <w:lang w:val="en-US"/>
              </w:rPr>
            </w:pPr>
          </w:p>
          <w:p w14:paraId="30681EBD" w14:textId="77777777" w:rsidR="00AE7DD4" w:rsidRPr="007B6616" w:rsidRDefault="00AE7DD4" w:rsidP="00C54C0E">
            <w:pPr>
              <w:pStyle w:val="ListParagraph"/>
              <w:ind w:left="0"/>
              <w:rPr>
                <w:rFonts w:ascii="Segoe UI" w:hAnsi="Segoe UI" w:cs="Segoe UI"/>
                <w:sz w:val="24"/>
                <w:szCs w:val="24"/>
                <w:lang w:val="en-US"/>
              </w:rPr>
            </w:pPr>
          </w:p>
          <w:p w14:paraId="5609FB1D" w14:textId="77777777" w:rsidR="00AE7DD4" w:rsidRPr="007B6616" w:rsidRDefault="00AE7DD4" w:rsidP="00C54C0E">
            <w:pPr>
              <w:pStyle w:val="ListParagraph"/>
              <w:ind w:left="0"/>
              <w:rPr>
                <w:rFonts w:ascii="Segoe UI" w:hAnsi="Segoe UI" w:cs="Segoe UI"/>
                <w:sz w:val="24"/>
                <w:szCs w:val="24"/>
                <w:lang w:val="en-US"/>
              </w:rPr>
            </w:pPr>
          </w:p>
          <w:p w14:paraId="2F448D8A" w14:textId="77777777" w:rsidR="00AE7DD4" w:rsidRPr="007B6616" w:rsidRDefault="00AE7DD4" w:rsidP="00C54C0E">
            <w:pPr>
              <w:pStyle w:val="ListParagraph"/>
              <w:ind w:left="0"/>
              <w:rPr>
                <w:rFonts w:ascii="Segoe UI" w:hAnsi="Segoe UI" w:cs="Segoe UI"/>
                <w:sz w:val="24"/>
                <w:szCs w:val="24"/>
                <w:lang w:val="en-US"/>
              </w:rPr>
            </w:pPr>
          </w:p>
          <w:p w14:paraId="5A5ED8C2" w14:textId="77777777" w:rsidR="00AE7DD4" w:rsidRPr="007B6616" w:rsidRDefault="00AE7DD4" w:rsidP="00C54C0E">
            <w:pPr>
              <w:pStyle w:val="ListParagraph"/>
              <w:ind w:left="0"/>
              <w:rPr>
                <w:rFonts w:ascii="Segoe UI" w:hAnsi="Segoe UI" w:cs="Segoe UI"/>
                <w:sz w:val="24"/>
                <w:szCs w:val="24"/>
                <w:lang w:val="en-US"/>
              </w:rPr>
            </w:pPr>
          </w:p>
          <w:p w14:paraId="5C1FF7E6" w14:textId="77777777" w:rsidR="00AE7DD4" w:rsidRPr="007B6616" w:rsidRDefault="00AE7DD4" w:rsidP="00C54C0E">
            <w:pPr>
              <w:pStyle w:val="ListParagraph"/>
              <w:ind w:left="0"/>
              <w:rPr>
                <w:rFonts w:ascii="Segoe UI" w:hAnsi="Segoe UI" w:cs="Segoe UI"/>
                <w:sz w:val="24"/>
                <w:szCs w:val="24"/>
                <w:lang w:val="en-US"/>
              </w:rPr>
            </w:pPr>
          </w:p>
          <w:p w14:paraId="16B41E5B"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Land-Use Planning</w:t>
            </w:r>
          </w:p>
          <w:p w14:paraId="0D1C1908" w14:textId="77777777" w:rsidR="00AE7DD4" w:rsidRPr="007B6616" w:rsidRDefault="00AE7DD4" w:rsidP="00C54C0E">
            <w:pPr>
              <w:pStyle w:val="ListParagraph"/>
              <w:ind w:left="0"/>
              <w:rPr>
                <w:rFonts w:ascii="Segoe UI" w:hAnsi="Segoe UI" w:cs="Segoe UI"/>
                <w:sz w:val="24"/>
                <w:szCs w:val="24"/>
                <w:lang w:val="en-US"/>
              </w:rPr>
            </w:pPr>
          </w:p>
          <w:p w14:paraId="2DF385BE" w14:textId="77777777" w:rsidR="00AE7DD4" w:rsidRPr="007B6616" w:rsidRDefault="00AE7DD4" w:rsidP="00C54C0E">
            <w:pPr>
              <w:pStyle w:val="ListParagraph"/>
              <w:ind w:left="0"/>
              <w:rPr>
                <w:rFonts w:ascii="Segoe UI" w:hAnsi="Segoe UI" w:cs="Segoe UI"/>
                <w:sz w:val="24"/>
                <w:szCs w:val="24"/>
                <w:lang w:val="en-US"/>
              </w:rPr>
            </w:pPr>
          </w:p>
          <w:p w14:paraId="32B8B2DB" w14:textId="77777777" w:rsidR="00AE7DD4" w:rsidRPr="007B6616" w:rsidRDefault="00AE7DD4" w:rsidP="00C54C0E">
            <w:pPr>
              <w:pStyle w:val="ListParagraph"/>
              <w:ind w:left="0"/>
              <w:rPr>
                <w:rFonts w:ascii="Segoe UI" w:hAnsi="Segoe UI" w:cs="Segoe UI"/>
                <w:sz w:val="24"/>
                <w:szCs w:val="24"/>
                <w:lang w:val="en-US"/>
              </w:rPr>
            </w:pPr>
          </w:p>
          <w:p w14:paraId="3DCB0401" w14:textId="77777777" w:rsidR="00AE7DD4" w:rsidRPr="007B6616" w:rsidRDefault="00AE7DD4" w:rsidP="00C54C0E">
            <w:pPr>
              <w:pStyle w:val="ListParagraph"/>
              <w:ind w:left="0"/>
              <w:rPr>
                <w:rFonts w:ascii="Segoe UI" w:hAnsi="Segoe UI" w:cs="Segoe UI"/>
                <w:sz w:val="24"/>
                <w:szCs w:val="24"/>
                <w:lang w:val="en-US"/>
              </w:rPr>
            </w:pPr>
          </w:p>
          <w:p w14:paraId="3E64495B" w14:textId="77777777" w:rsidR="00AE7DD4" w:rsidRPr="007B6616" w:rsidRDefault="00AE7DD4" w:rsidP="00C54C0E">
            <w:pPr>
              <w:pStyle w:val="ListParagraph"/>
              <w:ind w:left="0"/>
              <w:rPr>
                <w:rFonts w:ascii="Segoe UI" w:hAnsi="Segoe UI" w:cs="Segoe UI"/>
                <w:sz w:val="24"/>
                <w:szCs w:val="24"/>
                <w:lang w:val="en-US"/>
              </w:rPr>
            </w:pPr>
          </w:p>
          <w:p w14:paraId="6187D2D3" w14:textId="77777777" w:rsidR="00AE7DD4" w:rsidRPr="007B6616" w:rsidRDefault="00AE7DD4" w:rsidP="00C54C0E">
            <w:pPr>
              <w:pStyle w:val="ListParagraph"/>
              <w:ind w:left="0"/>
              <w:rPr>
                <w:rFonts w:ascii="Segoe UI" w:hAnsi="Segoe UI" w:cs="Segoe UI"/>
                <w:sz w:val="24"/>
                <w:szCs w:val="24"/>
                <w:lang w:val="en-US"/>
              </w:rPr>
            </w:pPr>
          </w:p>
          <w:p w14:paraId="001C3E79"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Parameters Analysis</w:t>
            </w:r>
          </w:p>
          <w:p w14:paraId="3D00CA8E" w14:textId="77777777" w:rsidR="00AE7DD4" w:rsidRPr="007B6616" w:rsidRDefault="00AE7DD4" w:rsidP="00C54C0E">
            <w:pPr>
              <w:pStyle w:val="ListParagraph"/>
              <w:ind w:left="0"/>
              <w:rPr>
                <w:rFonts w:ascii="Segoe UI" w:hAnsi="Segoe UI" w:cs="Segoe UI"/>
                <w:sz w:val="24"/>
                <w:szCs w:val="24"/>
                <w:lang w:val="en-US"/>
              </w:rPr>
            </w:pPr>
          </w:p>
          <w:p w14:paraId="3882DA43" w14:textId="77777777" w:rsidR="00AE7DD4" w:rsidRPr="007B6616" w:rsidRDefault="00AE7DD4" w:rsidP="00C54C0E">
            <w:pPr>
              <w:pStyle w:val="ListParagraph"/>
              <w:ind w:left="0"/>
              <w:rPr>
                <w:rFonts w:ascii="Segoe UI" w:hAnsi="Segoe UI" w:cs="Segoe UI"/>
                <w:sz w:val="24"/>
                <w:szCs w:val="24"/>
                <w:lang w:val="en-US"/>
              </w:rPr>
            </w:pPr>
          </w:p>
          <w:p w14:paraId="75F4AB03" w14:textId="77777777" w:rsidR="00AE7DD4" w:rsidRPr="007B6616" w:rsidRDefault="00AE7DD4" w:rsidP="00C54C0E">
            <w:pPr>
              <w:pStyle w:val="ListParagraph"/>
              <w:ind w:left="0"/>
              <w:rPr>
                <w:rFonts w:ascii="Segoe UI" w:hAnsi="Segoe UI" w:cs="Segoe UI"/>
                <w:sz w:val="24"/>
                <w:szCs w:val="24"/>
                <w:lang w:val="en-US"/>
              </w:rPr>
            </w:pPr>
          </w:p>
          <w:p w14:paraId="412CC72A" w14:textId="77777777" w:rsidR="00AE7DD4" w:rsidRPr="007B6616" w:rsidRDefault="00AE7DD4" w:rsidP="00C54C0E">
            <w:pPr>
              <w:pStyle w:val="ListParagraph"/>
              <w:ind w:left="0"/>
              <w:rPr>
                <w:rFonts w:ascii="Segoe UI" w:hAnsi="Segoe UI" w:cs="Segoe UI"/>
                <w:sz w:val="24"/>
                <w:szCs w:val="24"/>
                <w:lang w:val="en-US"/>
              </w:rPr>
            </w:pPr>
          </w:p>
          <w:p w14:paraId="7CEF5CBE" w14:textId="77777777" w:rsidR="00AE7DD4" w:rsidRPr="007B6616" w:rsidRDefault="00AE7DD4" w:rsidP="00C54C0E">
            <w:pPr>
              <w:pStyle w:val="ListParagraph"/>
              <w:ind w:left="0"/>
              <w:rPr>
                <w:rFonts w:ascii="Segoe UI" w:hAnsi="Segoe UI" w:cs="Segoe UI"/>
                <w:sz w:val="24"/>
                <w:szCs w:val="24"/>
                <w:lang w:val="en-US"/>
              </w:rPr>
            </w:pPr>
          </w:p>
          <w:p w14:paraId="12038A53" w14:textId="77777777" w:rsidR="00AE7DD4" w:rsidRPr="007B6616" w:rsidRDefault="00AE7DD4" w:rsidP="00C54C0E">
            <w:pPr>
              <w:pStyle w:val="ListParagraph"/>
              <w:ind w:left="0"/>
              <w:rPr>
                <w:rFonts w:ascii="Segoe UI" w:hAnsi="Segoe UI" w:cs="Segoe UI"/>
                <w:sz w:val="24"/>
                <w:szCs w:val="24"/>
                <w:lang w:val="en-US"/>
              </w:rPr>
            </w:pPr>
          </w:p>
          <w:p w14:paraId="6555EC57" w14:textId="77777777" w:rsidR="00AE7DD4" w:rsidRPr="007B6616" w:rsidRDefault="00AE7DD4" w:rsidP="00C54C0E">
            <w:pPr>
              <w:pStyle w:val="ListParagraph"/>
              <w:ind w:left="0"/>
              <w:rPr>
                <w:rFonts w:ascii="Segoe UI" w:hAnsi="Segoe UI" w:cs="Segoe UI"/>
                <w:sz w:val="24"/>
                <w:szCs w:val="24"/>
                <w:lang w:val="en-US"/>
              </w:rPr>
            </w:pPr>
          </w:p>
          <w:p w14:paraId="62732159" w14:textId="77777777" w:rsidR="00AE7DD4" w:rsidRPr="007B6616" w:rsidRDefault="00AE7DD4" w:rsidP="00C54C0E">
            <w:pPr>
              <w:pStyle w:val="ListParagraph"/>
              <w:ind w:left="0"/>
              <w:rPr>
                <w:rFonts w:ascii="Segoe UI" w:hAnsi="Segoe UI" w:cs="Segoe UI"/>
                <w:sz w:val="24"/>
                <w:szCs w:val="24"/>
                <w:lang w:val="en-US"/>
              </w:rPr>
            </w:pPr>
          </w:p>
          <w:p w14:paraId="71047D60" w14:textId="109A934B" w:rsidR="00AE7DD4" w:rsidRDefault="00AE7DD4" w:rsidP="00C54C0E">
            <w:pPr>
              <w:pStyle w:val="ListParagraph"/>
              <w:ind w:left="0"/>
              <w:rPr>
                <w:rFonts w:ascii="Segoe UI" w:hAnsi="Segoe UI" w:cs="Segoe UI"/>
                <w:sz w:val="24"/>
                <w:szCs w:val="24"/>
                <w:lang w:val="en-US"/>
              </w:rPr>
            </w:pPr>
          </w:p>
          <w:p w14:paraId="15115494" w14:textId="54E66B4F" w:rsidR="007B6616" w:rsidRDefault="007B6616" w:rsidP="00C54C0E">
            <w:pPr>
              <w:pStyle w:val="ListParagraph"/>
              <w:ind w:left="0"/>
              <w:rPr>
                <w:rFonts w:ascii="Segoe UI" w:hAnsi="Segoe UI" w:cs="Segoe UI"/>
                <w:sz w:val="24"/>
                <w:szCs w:val="24"/>
                <w:lang w:val="en-US"/>
              </w:rPr>
            </w:pPr>
          </w:p>
          <w:p w14:paraId="26AFA2B9" w14:textId="3B0251B3" w:rsidR="007B6616" w:rsidRDefault="007B6616" w:rsidP="00C54C0E">
            <w:pPr>
              <w:pStyle w:val="ListParagraph"/>
              <w:ind w:left="0"/>
              <w:rPr>
                <w:rFonts w:ascii="Segoe UI" w:hAnsi="Segoe UI" w:cs="Segoe UI"/>
                <w:sz w:val="24"/>
                <w:szCs w:val="24"/>
                <w:lang w:val="en-US"/>
              </w:rPr>
            </w:pPr>
          </w:p>
          <w:p w14:paraId="6305063C" w14:textId="52CD0D34" w:rsidR="007B6616" w:rsidRDefault="007B6616" w:rsidP="00C54C0E">
            <w:pPr>
              <w:pStyle w:val="ListParagraph"/>
              <w:ind w:left="0"/>
              <w:rPr>
                <w:rFonts w:ascii="Segoe UI" w:hAnsi="Segoe UI" w:cs="Segoe UI"/>
                <w:sz w:val="24"/>
                <w:szCs w:val="24"/>
                <w:lang w:val="en-US"/>
              </w:rPr>
            </w:pPr>
          </w:p>
          <w:p w14:paraId="1F8062D4" w14:textId="1B5C17D0" w:rsidR="007B6616" w:rsidRDefault="007B6616" w:rsidP="00C54C0E">
            <w:pPr>
              <w:pStyle w:val="ListParagraph"/>
              <w:ind w:left="0"/>
              <w:rPr>
                <w:rFonts w:ascii="Segoe UI" w:hAnsi="Segoe UI" w:cs="Segoe UI"/>
                <w:sz w:val="24"/>
                <w:szCs w:val="24"/>
                <w:lang w:val="en-US"/>
              </w:rPr>
            </w:pPr>
          </w:p>
          <w:p w14:paraId="370A5444" w14:textId="224F760B" w:rsidR="007B6616" w:rsidRDefault="007B6616" w:rsidP="00C54C0E">
            <w:pPr>
              <w:pStyle w:val="ListParagraph"/>
              <w:ind w:left="0"/>
              <w:rPr>
                <w:rFonts w:ascii="Segoe UI" w:hAnsi="Segoe UI" w:cs="Segoe UI"/>
                <w:sz w:val="24"/>
                <w:szCs w:val="24"/>
                <w:lang w:val="en-US"/>
              </w:rPr>
            </w:pPr>
          </w:p>
          <w:p w14:paraId="5D704675" w14:textId="77777777" w:rsidR="007B6616" w:rsidRPr="007B6616" w:rsidRDefault="007B6616" w:rsidP="00C54C0E">
            <w:pPr>
              <w:pStyle w:val="ListParagraph"/>
              <w:ind w:left="0"/>
              <w:rPr>
                <w:rFonts w:ascii="Segoe UI" w:hAnsi="Segoe UI" w:cs="Segoe UI"/>
                <w:sz w:val="24"/>
                <w:szCs w:val="24"/>
                <w:lang w:val="en-US"/>
              </w:rPr>
            </w:pPr>
          </w:p>
          <w:p w14:paraId="506ABC4A" w14:textId="77777777" w:rsidR="00AE7DD4" w:rsidRPr="007B6616" w:rsidRDefault="00AE7DD4" w:rsidP="00C54C0E">
            <w:pPr>
              <w:pStyle w:val="ListParagraph"/>
              <w:ind w:left="0"/>
              <w:rPr>
                <w:rFonts w:ascii="Segoe UI" w:hAnsi="Segoe UI" w:cs="Segoe UI"/>
                <w:sz w:val="24"/>
                <w:szCs w:val="24"/>
                <w:lang w:val="en-US"/>
              </w:rPr>
            </w:pPr>
          </w:p>
          <w:p w14:paraId="384D51C3" w14:textId="77777777" w:rsidR="00AE7DD4" w:rsidRPr="007B6616" w:rsidRDefault="00AE7DD4" w:rsidP="00C54C0E">
            <w:pPr>
              <w:pStyle w:val="ListParagraph"/>
              <w:ind w:left="0"/>
              <w:rPr>
                <w:rFonts w:ascii="Segoe UI" w:hAnsi="Segoe UI" w:cs="Segoe UI"/>
                <w:sz w:val="24"/>
                <w:szCs w:val="24"/>
                <w:lang w:val="en-US"/>
              </w:rPr>
            </w:pPr>
          </w:p>
          <w:p w14:paraId="7185DD68" w14:textId="77777777" w:rsidR="00AE7DD4" w:rsidRPr="007B6616" w:rsidRDefault="00AE7DD4" w:rsidP="00C54C0E">
            <w:pPr>
              <w:pStyle w:val="ListParagraph"/>
              <w:ind w:left="0"/>
              <w:rPr>
                <w:rFonts w:ascii="Segoe UI" w:hAnsi="Segoe UI" w:cs="Segoe UI"/>
                <w:sz w:val="24"/>
                <w:szCs w:val="24"/>
                <w:lang w:val="en-US"/>
              </w:rPr>
            </w:pPr>
          </w:p>
          <w:p w14:paraId="5C88FB09"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Procurement</w:t>
            </w:r>
          </w:p>
          <w:p w14:paraId="1D2E09BA" w14:textId="77777777" w:rsidR="00AE7DD4" w:rsidRPr="007B6616" w:rsidRDefault="00AE7DD4" w:rsidP="00C54C0E">
            <w:pPr>
              <w:pStyle w:val="ListParagraph"/>
              <w:ind w:left="0"/>
              <w:rPr>
                <w:rFonts w:ascii="Segoe UI" w:hAnsi="Segoe UI" w:cs="Segoe UI"/>
                <w:sz w:val="24"/>
                <w:szCs w:val="24"/>
                <w:lang w:val="en-US"/>
              </w:rPr>
            </w:pPr>
          </w:p>
          <w:p w14:paraId="08F2507D" w14:textId="57737CE1"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Timelines and Process</w:t>
            </w:r>
          </w:p>
        </w:tc>
        <w:tc>
          <w:tcPr>
            <w:tcW w:w="6520" w:type="dxa"/>
          </w:tcPr>
          <w:p w14:paraId="4756C236" w14:textId="4D83B86A" w:rsidR="00AE7DD4" w:rsidRPr="007B6616" w:rsidRDefault="00AE7DD4" w:rsidP="00856D3F">
            <w:pPr>
              <w:pStyle w:val="ListParagraph"/>
              <w:numPr>
                <w:ilvl w:val="0"/>
                <w:numId w:val="21"/>
              </w:numPr>
              <w:rPr>
                <w:rFonts w:ascii="Segoe UI" w:hAnsi="Segoe UI" w:cs="Segoe UI"/>
                <w:color w:val="000000"/>
                <w:sz w:val="24"/>
                <w:szCs w:val="24"/>
              </w:rPr>
            </w:pPr>
            <w:r w:rsidRPr="007B6616">
              <w:rPr>
                <w:rFonts w:ascii="Segoe UI" w:hAnsi="Segoe UI" w:cs="Segoe UI"/>
                <w:color w:val="000000"/>
                <w:sz w:val="24"/>
                <w:szCs w:val="24"/>
              </w:rPr>
              <w:t xml:space="preserve">Even simple, typically publicly available information on reactor designs was not made available for the design ultimately chosen under the inexplicable guise of being ‘proprietary’. Such blatant cover of ‘proprietary’ information is inconsistent with the vendor’s obligations to people of Canada where the vendor hopes to benefit from a proof of concept with public funds. Reactor data on new Chinese reactor designs is more abundantly available than was made available for BWRX-300. This is not a time machine </w:t>
            </w:r>
            <w:r w:rsidR="007B6616" w:rsidRPr="007B6616">
              <w:rPr>
                <w:rFonts w:ascii="Segoe UI" w:hAnsi="Segoe UI" w:cs="Segoe UI"/>
                <w:color w:val="000000"/>
                <w:sz w:val="24"/>
                <w:szCs w:val="24"/>
              </w:rPr>
              <w:t>design,</w:t>
            </w:r>
            <w:r w:rsidRPr="007B6616">
              <w:rPr>
                <w:rFonts w:ascii="Segoe UI" w:hAnsi="Segoe UI" w:cs="Segoe UI"/>
                <w:color w:val="000000"/>
                <w:sz w:val="24"/>
                <w:szCs w:val="24"/>
              </w:rPr>
              <w:t xml:space="preserve"> or a shoulder carried hypersonic missile design.</w:t>
            </w:r>
          </w:p>
          <w:p w14:paraId="4ED2CB22" w14:textId="77777777" w:rsidR="00AE7DD4" w:rsidRPr="007B6616" w:rsidRDefault="00AE7DD4" w:rsidP="00856D3F">
            <w:pPr>
              <w:pStyle w:val="ListParagraph"/>
              <w:numPr>
                <w:ilvl w:val="0"/>
                <w:numId w:val="21"/>
              </w:numPr>
              <w:rPr>
                <w:rFonts w:ascii="Segoe UI" w:hAnsi="Segoe UI" w:cs="Segoe UI"/>
                <w:color w:val="000000"/>
                <w:sz w:val="24"/>
                <w:szCs w:val="24"/>
              </w:rPr>
            </w:pPr>
            <w:r w:rsidRPr="007B6616">
              <w:rPr>
                <w:rFonts w:ascii="Segoe UI" w:hAnsi="Segoe UI" w:cs="Segoe UI"/>
                <w:color w:val="000000"/>
                <w:sz w:val="24"/>
                <w:szCs w:val="24"/>
              </w:rPr>
              <w:t>Public relations propaganda about the chosen reactor design’s safety was freely dispensed without giving any numerical information on the reactor design that could be verified by nuclear safety experts working in public interest.</w:t>
            </w:r>
          </w:p>
          <w:p w14:paraId="49C7ED97" w14:textId="63E3226C" w:rsidR="00AE7DD4" w:rsidRPr="007B6616" w:rsidRDefault="00AE7DD4" w:rsidP="00856D3F">
            <w:pPr>
              <w:pStyle w:val="ListParagraph"/>
              <w:numPr>
                <w:ilvl w:val="0"/>
                <w:numId w:val="21"/>
              </w:numPr>
              <w:rPr>
                <w:rFonts w:ascii="Segoe UI" w:hAnsi="Segoe UI" w:cs="Segoe UI"/>
                <w:color w:val="000000"/>
                <w:sz w:val="24"/>
                <w:szCs w:val="24"/>
              </w:rPr>
            </w:pPr>
            <w:r w:rsidRPr="007B6616">
              <w:rPr>
                <w:rFonts w:ascii="Segoe UI" w:hAnsi="Segoe UI" w:cs="Segoe UI"/>
                <w:color w:val="000000"/>
                <w:sz w:val="24"/>
                <w:szCs w:val="24"/>
              </w:rPr>
              <w:t xml:space="preserve">We propose that the current PPE be not accepted as surrogate to </w:t>
            </w:r>
            <w:r w:rsidR="007B6616" w:rsidRPr="007B6616">
              <w:rPr>
                <w:rFonts w:ascii="Segoe UI" w:hAnsi="Segoe UI" w:cs="Segoe UI"/>
                <w:color w:val="000000"/>
                <w:sz w:val="24"/>
                <w:szCs w:val="24"/>
              </w:rPr>
              <w:t>anything,</w:t>
            </w:r>
            <w:r w:rsidRPr="007B6616">
              <w:rPr>
                <w:rFonts w:ascii="Segoe UI" w:hAnsi="Segoe UI" w:cs="Segoe UI"/>
                <w:color w:val="000000"/>
                <w:sz w:val="24"/>
                <w:szCs w:val="24"/>
              </w:rPr>
              <w:t xml:space="preserve"> and a renewed set of documents be prepared that details the actual data for BWRX-300 and issued for comments to me. It should include enough information on each of the reactor designs that were considered </w:t>
            </w:r>
            <w:r w:rsidR="007B6616" w:rsidRPr="007B6616">
              <w:rPr>
                <w:rFonts w:ascii="Segoe UI" w:hAnsi="Segoe UI" w:cs="Segoe UI"/>
                <w:color w:val="000000"/>
                <w:sz w:val="24"/>
                <w:szCs w:val="24"/>
              </w:rPr>
              <w:t>(as</w:t>
            </w:r>
            <w:r w:rsidRPr="007B6616">
              <w:rPr>
                <w:rFonts w:ascii="Segoe UI" w:hAnsi="Segoe UI" w:cs="Segoe UI"/>
                <w:color w:val="000000"/>
                <w:sz w:val="24"/>
                <w:szCs w:val="24"/>
              </w:rPr>
              <w:t xml:space="preserve"> a summary design description with pictures and tables and references) and a much broader discussion of the chosen BWRX-300 design.</w:t>
            </w:r>
          </w:p>
          <w:p w14:paraId="01509260" w14:textId="41BD466A" w:rsidR="00AE7DD4" w:rsidRPr="007B6616" w:rsidRDefault="00AE7DD4" w:rsidP="00856D3F">
            <w:pPr>
              <w:pStyle w:val="ListParagraph"/>
              <w:numPr>
                <w:ilvl w:val="0"/>
                <w:numId w:val="21"/>
              </w:numPr>
              <w:rPr>
                <w:rFonts w:ascii="Segoe UI" w:hAnsi="Segoe UI" w:cs="Segoe UI"/>
                <w:color w:val="000000"/>
                <w:sz w:val="24"/>
                <w:szCs w:val="24"/>
              </w:rPr>
            </w:pPr>
            <w:r w:rsidRPr="007B6616">
              <w:rPr>
                <w:rFonts w:ascii="Segoe UI" w:hAnsi="Segoe UI" w:cs="Segoe UI"/>
                <w:color w:val="000000"/>
                <w:sz w:val="24"/>
                <w:szCs w:val="24"/>
              </w:rPr>
              <w:t xml:space="preserve">An important omission in the PPE and site description is in discussion of why the new build HAS TO BE within an existing station’s exclusion boundary, </w:t>
            </w:r>
            <w:r w:rsidR="007B6616" w:rsidRPr="007B6616">
              <w:rPr>
                <w:rFonts w:ascii="Segoe UI" w:hAnsi="Segoe UI" w:cs="Segoe UI"/>
                <w:color w:val="000000"/>
                <w:sz w:val="24"/>
                <w:szCs w:val="24"/>
              </w:rPr>
              <w:t>despite</w:t>
            </w:r>
            <w:r w:rsidRPr="007B6616">
              <w:rPr>
                <w:rFonts w:ascii="Segoe UI" w:hAnsi="Segoe UI" w:cs="Segoe UI"/>
                <w:color w:val="000000"/>
                <w:sz w:val="24"/>
                <w:szCs w:val="24"/>
              </w:rPr>
              <w:t xml:space="preserve"> all the risks such a decision entails.</w:t>
            </w:r>
          </w:p>
          <w:p w14:paraId="0524F010" w14:textId="77777777" w:rsidR="00AE7DD4" w:rsidRPr="007B6616" w:rsidRDefault="00AE7DD4" w:rsidP="00856D3F">
            <w:pPr>
              <w:pStyle w:val="ListParagraph"/>
              <w:numPr>
                <w:ilvl w:val="0"/>
                <w:numId w:val="21"/>
              </w:numPr>
              <w:rPr>
                <w:rFonts w:ascii="Segoe UI" w:hAnsi="Segoe UI" w:cs="Segoe UI"/>
                <w:color w:val="000000"/>
                <w:sz w:val="24"/>
                <w:szCs w:val="24"/>
              </w:rPr>
            </w:pPr>
            <w:r w:rsidRPr="007B6616">
              <w:rPr>
                <w:rFonts w:ascii="Segoe UI" w:hAnsi="Segoe UI" w:cs="Segoe UI"/>
                <w:color w:val="000000"/>
                <w:sz w:val="24"/>
                <w:szCs w:val="24"/>
              </w:rPr>
              <w:t xml:space="preserve">A composite spreadsheet for all vendor data was not created (one column for each design). While bounding values (numerically maximum or minimum of data sent in by the vendors without any accompanying description) were identified, no rationale for comparing the supplied data with diverse origins, meaning or credibility was discussed. There was no discussion of any missing data, consistency check within vendor data set or any discussion of any reasonableness of data or error margins. These are </w:t>
            </w:r>
            <w:proofErr w:type="gramStart"/>
            <w:r w:rsidRPr="007B6616">
              <w:rPr>
                <w:rFonts w:ascii="Segoe UI" w:hAnsi="Segoe UI" w:cs="Segoe UI"/>
                <w:color w:val="000000"/>
                <w:sz w:val="24"/>
                <w:szCs w:val="24"/>
              </w:rPr>
              <w:t>actually explicit</w:t>
            </w:r>
            <w:proofErr w:type="gramEnd"/>
            <w:r w:rsidRPr="007B6616">
              <w:rPr>
                <w:rFonts w:ascii="Segoe UI" w:hAnsi="Segoe UI" w:cs="Segoe UI"/>
                <w:color w:val="000000"/>
                <w:sz w:val="24"/>
                <w:szCs w:val="24"/>
              </w:rPr>
              <w:t xml:space="preserve"> requirements and expectations in repeated NRC and NEI documents on the subject. A mere dump of bounding values makes no meaningful contribution to the stated intent.</w:t>
            </w:r>
          </w:p>
          <w:p w14:paraId="0AD127BA" w14:textId="77777777" w:rsidR="00AE7DD4" w:rsidRPr="007B6616" w:rsidRDefault="00AE7DD4" w:rsidP="00856D3F">
            <w:pPr>
              <w:pStyle w:val="ListParagraph"/>
              <w:numPr>
                <w:ilvl w:val="0"/>
                <w:numId w:val="21"/>
              </w:numPr>
              <w:rPr>
                <w:rFonts w:ascii="Segoe UI" w:hAnsi="Segoe UI" w:cs="Segoe UI"/>
                <w:color w:val="000000"/>
                <w:sz w:val="24"/>
                <w:szCs w:val="24"/>
              </w:rPr>
            </w:pPr>
            <w:r w:rsidRPr="007B6616">
              <w:rPr>
                <w:rFonts w:ascii="Segoe UI" w:hAnsi="Segoe UI" w:cs="Segoe UI"/>
                <w:color w:val="000000"/>
                <w:sz w:val="24"/>
                <w:szCs w:val="24"/>
              </w:rPr>
              <w:t xml:space="preserve">The PPE provided bounding values for 3 reactors tabulated in 2009 for them by </w:t>
            </w:r>
            <w:proofErr w:type="spellStart"/>
            <w:r w:rsidRPr="007B6616">
              <w:rPr>
                <w:rFonts w:ascii="Segoe UI" w:hAnsi="Segoe UI" w:cs="Segoe UI"/>
                <w:color w:val="000000"/>
                <w:sz w:val="24"/>
                <w:szCs w:val="24"/>
              </w:rPr>
              <w:t>Condesco</w:t>
            </w:r>
            <w:proofErr w:type="spellEnd"/>
            <w:r w:rsidRPr="007B6616">
              <w:rPr>
                <w:rFonts w:ascii="Segoe UI" w:hAnsi="Segoe UI" w:cs="Segoe UI"/>
                <w:color w:val="000000"/>
                <w:sz w:val="24"/>
                <w:szCs w:val="24"/>
              </w:rPr>
              <w:t xml:space="preserve"> with ZERO additions made through the next 13 years or any feedback from any person or organization.</w:t>
            </w:r>
          </w:p>
          <w:p w14:paraId="72AA533A" w14:textId="77777777" w:rsidR="00AE7DD4" w:rsidRPr="007B6616" w:rsidRDefault="00AE7DD4" w:rsidP="00856D3F">
            <w:pPr>
              <w:pStyle w:val="ListParagraph"/>
              <w:numPr>
                <w:ilvl w:val="0"/>
                <w:numId w:val="21"/>
              </w:numPr>
              <w:rPr>
                <w:rFonts w:ascii="Segoe UI" w:hAnsi="Segoe UI" w:cs="Segoe UI"/>
                <w:color w:val="000000"/>
                <w:sz w:val="24"/>
                <w:szCs w:val="24"/>
              </w:rPr>
            </w:pPr>
            <w:r w:rsidRPr="007B6616">
              <w:rPr>
                <w:rFonts w:ascii="Segoe UI" w:hAnsi="Segoe UI" w:cs="Segoe UI"/>
                <w:color w:val="000000"/>
                <w:sz w:val="24"/>
                <w:szCs w:val="24"/>
              </w:rPr>
              <w:t>The process of arriving at the bounding value is not transparent as the data provided by each of the three vendors that dominate the information scape is not individually tabulated or referred to in a separate summary document for the design. That should have been an easy thing to do and</w:t>
            </w:r>
            <w:r w:rsidRPr="007B6616">
              <w:rPr>
                <w:rFonts w:ascii="Segoe UI" w:hAnsi="Segoe UI" w:cs="Segoe UI"/>
                <w:color w:val="000000"/>
                <w:sz w:val="24"/>
                <w:szCs w:val="24"/>
              </w:rPr>
              <w:br/>
              <w:t xml:space="preserve">with sufficient volume of information on the actual design, a proper way of verifying if the bounding data values were in context of ANY new design that may show up on the horizon layer, just as the BWRX-300 did, many years after the PPE was issued first. Observations on the specific features of a reactor design from which the bounding value was derived were not made. </w:t>
            </w:r>
          </w:p>
          <w:p w14:paraId="3863FDE3" w14:textId="77777777" w:rsidR="00AE7DD4" w:rsidRPr="007B6616" w:rsidRDefault="00AE7DD4" w:rsidP="00856D3F">
            <w:pPr>
              <w:pStyle w:val="ListParagraph"/>
              <w:numPr>
                <w:ilvl w:val="0"/>
                <w:numId w:val="21"/>
              </w:numPr>
              <w:rPr>
                <w:rFonts w:ascii="Segoe UI" w:hAnsi="Segoe UI" w:cs="Segoe UI"/>
                <w:color w:val="000000"/>
                <w:sz w:val="24"/>
                <w:szCs w:val="24"/>
              </w:rPr>
            </w:pPr>
            <w:r w:rsidRPr="007B6616">
              <w:rPr>
                <w:rFonts w:ascii="Segoe UI" w:hAnsi="Segoe UI" w:cs="Segoe UI"/>
                <w:color w:val="000000"/>
                <w:sz w:val="24"/>
                <w:szCs w:val="24"/>
              </w:rPr>
              <w:t>Information on fuel procurement</w:t>
            </w:r>
          </w:p>
          <w:p w14:paraId="530682DB" w14:textId="68CCD9CA" w:rsidR="00AE7DD4" w:rsidRPr="007B6616" w:rsidRDefault="007B6616" w:rsidP="00856D3F">
            <w:pPr>
              <w:pStyle w:val="ListParagraph"/>
              <w:numPr>
                <w:ilvl w:val="0"/>
                <w:numId w:val="21"/>
              </w:numPr>
              <w:rPr>
                <w:rFonts w:ascii="Segoe UI" w:hAnsi="Segoe UI" w:cs="Segoe UI"/>
                <w:b/>
                <w:bCs/>
                <w:sz w:val="24"/>
                <w:szCs w:val="24"/>
              </w:rPr>
            </w:pPr>
            <w:r>
              <w:rPr>
                <w:rFonts w:ascii="Segoe UI" w:hAnsi="Segoe UI" w:cs="Segoe UI"/>
                <w:color w:val="000000"/>
                <w:sz w:val="24"/>
                <w:szCs w:val="24"/>
              </w:rPr>
              <w:t>M</w:t>
            </w:r>
            <w:r w:rsidR="00AE7DD4" w:rsidRPr="007B6616">
              <w:rPr>
                <w:rFonts w:ascii="Segoe UI" w:hAnsi="Segoe UI" w:cs="Segoe UI"/>
                <w:color w:val="000000"/>
                <w:sz w:val="24"/>
                <w:szCs w:val="24"/>
              </w:rPr>
              <w:t>ain contention is that the present procedure lacks validity given the realities of the post-Fukushima world and the paucity of information provided about the BWRX-300 boiling water reactor – a type of reactor that was never considered in the original EIS</w:t>
            </w:r>
          </w:p>
        </w:tc>
      </w:tr>
      <w:tr w:rsidR="00AE7DD4" w:rsidRPr="007B6616" w14:paraId="5E03FB32" w14:textId="77777777" w:rsidTr="007B6616">
        <w:tc>
          <w:tcPr>
            <w:tcW w:w="2830" w:type="dxa"/>
          </w:tcPr>
          <w:p w14:paraId="7054A8C7" w14:textId="4388D3AE"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Availability of Documents</w:t>
            </w:r>
          </w:p>
        </w:tc>
        <w:tc>
          <w:tcPr>
            <w:tcW w:w="6520" w:type="dxa"/>
          </w:tcPr>
          <w:p w14:paraId="3283CD41" w14:textId="77777777" w:rsidR="00AE7DD4" w:rsidRPr="007B6616" w:rsidRDefault="00AE7DD4" w:rsidP="00856D3F">
            <w:pPr>
              <w:pStyle w:val="ListParagraph"/>
              <w:numPr>
                <w:ilvl w:val="0"/>
                <w:numId w:val="22"/>
              </w:numPr>
              <w:rPr>
                <w:rFonts w:ascii="Segoe UI" w:hAnsi="Segoe UI" w:cs="Segoe UI"/>
                <w:color w:val="000000"/>
                <w:sz w:val="24"/>
                <w:szCs w:val="24"/>
              </w:rPr>
            </w:pPr>
            <w:r w:rsidRPr="007B6616">
              <w:rPr>
                <w:rFonts w:ascii="Segoe UI" w:hAnsi="Segoe UI" w:cs="Segoe UI"/>
                <w:color w:val="000000"/>
                <w:sz w:val="24"/>
                <w:szCs w:val="24"/>
              </w:rPr>
              <w:t>To increase transparency, the Intervenors submit that OPG should be required to make all non-confidential documents readily available for public viewing, either via hyperlinks within documents, or through an archived database on their website. Information must be shared with the public in a timely manner.</w:t>
            </w:r>
          </w:p>
          <w:p w14:paraId="7ADBD193" w14:textId="77777777" w:rsidR="00AE7DD4" w:rsidRPr="007B6616" w:rsidRDefault="00AE7DD4" w:rsidP="00C54C0E">
            <w:pPr>
              <w:pStyle w:val="ListParagraph"/>
              <w:ind w:left="0"/>
              <w:rPr>
                <w:rFonts w:ascii="Segoe UI" w:hAnsi="Segoe UI" w:cs="Segoe UI"/>
                <w:b/>
                <w:bCs/>
                <w:sz w:val="24"/>
                <w:szCs w:val="24"/>
              </w:rPr>
            </w:pPr>
          </w:p>
        </w:tc>
      </w:tr>
      <w:tr w:rsidR="00AE7DD4" w:rsidRPr="007B6616" w14:paraId="2C6FB6EB" w14:textId="77777777" w:rsidTr="007B6616">
        <w:tc>
          <w:tcPr>
            <w:tcW w:w="2830" w:type="dxa"/>
          </w:tcPr>
          <w:p w14:paraId="1009DDE7"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General</w:t>
            </w:r>
          </w:p>
          <w:p w14:paraId="441D27A8" w14:textId="77777777" w:rsidR="00AE7DD4" w:rsidRPr="007B6616" w:rsidRDefault="00AE7DD4" w:rsidP="00C54C0E">
            <w:pPr>
              <w:pStyle w:val="ListParagraph"/>
              <w:ind w:left="0"/>
              <w:rPr>
                <w:rFonts w:ascii="Segoe UI" w:hAnsi="Segoe UI" w:cs="Segoe UI"/>
                <w:sz w:val="24"/>
                <w:szCs w:val="24"/>
                <w:lang w:val="en-US"/>
              </w:rPr>
            </w:pPr>
          </w:p>
          <w:p w14:paraId="36ED058C" w14:textId="77777777" w:rsidR="00AE7DD4" w:rsidRPr="007B6616" w:rsidRDefault="00AE7DD4" w:rsidP="00C54C0E">
            <w:pPr>
              <w:pStyle w:val="ListParagraph"/>
              <w:ind w:left="0"/>
              <w:rPr>
                <w:rFonts w:ascii="Segoe UI" w:hAnsi="Segoe UI" w:cs="Segoe UI"/>
                <w:sz w:val="24"/>
                <w:szCs w:val="24"/>
                <w:lang w:val="en-US"/>
              </w:rPr>
            </w:pPr>
          </w:p>
          <w:p w14:paraId="511E7372" w14:textId="77777777" w:rsidR="00AE7DD4" w:rsidRPr="007B6616" w:rsidRDefault="00AE7DD4" w:rsidP="00C54C0E">
            <w:pPr>
              <w:pStyle w:val="ListParagraph"/>
              <w:ind w:left="0"/>
              <w:rPr>
                <w:rFonts w:ascii="Segoe UI" w:hAnsi="Segoe UI" w:cs="Segoe UI"/>
                <w:sz w:val="24"/>
                <w:szCs w:val="24"/>
                <w:lang w:val="en-US"/>
              </w:rPr>
            </w:pPr>
          </w:p>
          <w:p w14:paraId="5D7F4175" w14:textId="77777777" w:rsidR="00AE7DD4" w:rsidRPr="007B6616" w:rsidRDefault="00AE7DD4" w:rsidP="00C54C0E">
            <w:pPr>
              <w:pStyle w:val="ListParagraph"/>
              <w:ind w:left="0"/>
              <w:rPr>
                <w:rFonts w:ascii="Segoe UI" w:hAnsi="Segoe UI" w:cs="Segoe UI"/>
                <w:sz w:val="24"/>
                <w:szCs w:val="24"/>
                <w:lang w:val="en-US"/>
              </w:rPr>
            </w:pPr>
          </w:p>
          <w:p w14:paraId="56E0B33D" w14:textId="77777777" w:rsidR="00AE7DD4" w:rsidRPr="007B6616" w:rsidRDefault="00AE7DD4" w:rsidP="00C54C0E">
            <w:pPr>
              <w:pStyle w:val="ListParagraph"/>
              <w:ind w:left="0"/>
              <w:rPr>
                <w:rFonts w:ascii="Segoe UI" w:hAnsi="Segoe UI" w:cs="Segoe UI"/>
                <w:sz w:val="24"/>
                <w:szCs w:val="24"/>
                <w:lang w:val="en-US"/>
              </w:rPr>
            </w:pPr>
          </w:p>
          <w:p w14:paraId="1EFB1354"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Indigenous Nations Relationships</w:t>
            </w:r>
          </w:p>
          <w:p w14:paraId="164C594E" w14:textId="77777777" w:rsidR="00AE7DD4" w:rsidRPr="007B6616" w:rsidRDefault="00AE7DD4" w:rsidP="00C54C0E">
            <w:pPr>
              <w:pStyle w:val="ListParagraph"/>
              <w:ind w:left="0"/>
              <w:rPr>
                <w:rFonts w:ascii="Segoe UI" w:hAnsi="Segoe UI" w:cs="Segoe UI"/>
                <w:sz w:val="24"/>
                <w:szCs w:val="24"/>
                <w:lang w:val="en-US"/>
              </w:rPr>
            </w:pPr>
          </w:p>
          <w:p w14:paraId="5804D95F" w14:textId="77777777" w:rsidR="00AE7DD4" w:rsidRPr="007B6616" w:rsidRDefault="00AE7DD4" w:rsidP="00C54C0E">
            <w:pPr>
              <w:pStyle w:val="ListParagraph"/>
              <w:ind w:left="0"/>
              <w:rPr>
                <w:rFonts w:ascii="Segoe UI" w:hAnsi="Segoe UI" w:cs="Segoe UI"/>
                <w:sz w:val="24"/>
                <w:szCs w:val="24"/>
                <w:lang w:val="en-US"/>
              </w:rPr>
            </w:pPr>
          </w:p>
          <w:p w14:paraId="12AB512D" w14:textId="77777777" w:rsidR="00AE7DD4" w:rsidRPr="007B6616" w:rsidRDefault="00AE7DD4" w:rsidP="00C54C0E">
            <w:pPr>
              <w:pStyle w:val="ListParagraph"/>
              <w:ind w:left="0"/>
              <w:rPr>
                <w:rFonts w:ascii="Segoe UI" w:hAnsi="Segoe UI" w:cs="Segoe UI"/>
                <w:sz w:val="24"/>
                <w:szCs w:val="24"/>
                <w:lang w:val="en-US"/>
              </w:rPr>
            </w:pPr>
          </w:p>
          <w:p w14:paraId="6999708F" w14:textId="77777777" w:rsidR="00AE7DD4" w:rsidRPr="007B6616" w:rsidRDefault="00AE7DD4" w:rsidP="00C54C0E">
            <w:pPr>
              <w:pStyle w:val="ListParagraph"/>
              <w:ind w:left="0"/>
              <w:rPr>
                <w:rFonts w:ascii="Segoe UI" w:hAnsi="Segoe UI" w:cs="Segoe UI"/>
                <w:sz w:val="24"/>
                <w:szCs w:val="24"/>
                <w:lang w:val="en-US"/>
              </w:rPr>
            </w:pPr>
          </w:p>
          <w:p w14:paraId="51E3E8EE" w14:textId="77777777" w:rsidR="00AE7DD4" w:rsidRPr="007B6616" w:rsidRDefault="00AE7DD4" w:rsidP="00C54C0E">
            <w:pPr>
              <w:pStyle w:val="ListParagraph"/>
              <w:ind w:left="0"/>
              <w:rPr>
                <w:rFonts w:ascii="Segoe UI" w:hAnsi="Segoe UI" w:cs="Segoe UI"/>
                <w:sz w:val="24"/>
                <w:szCs w:val="24"/>
                <w:lang w:val="en-US"/>
              </w:rPr>
            </w:pPr>
          </w:p>
          <w:p w14:paraId="548C8306" w14:textId="77777777" w:rsidR="00AE7DD4" w:rsidRPr="007B6616" w:rsidRDefault="00AE7DD4" w:rsidP="00C54C0E">
            <w:pPr>
              <w:pStyle w:val="ListParagraph"/>
              <w:ind w:left="0"/>
              <w:rPr>
                <w:rFonts w:ascii="Segoe UI" w:hAnsi="Segoe UI" w:cs="Segoe UI"/>
                <w:sz w:val="24"/>
                <w:szCs w:val="24"/>
                <w:lang w:val="en-US"/>
              </w:rPr>
            </w:pPr>
          </w:p>
          <w:p w14:paraId="581FCF42" w14:textId="77777777" w:rsidR="00AE7DD4" w:rsidRPr="007B6616" w:rsidRDefault="00AE7DD4" w:rsidP="00C54C0E">
            <w:pPr>
              <w:pStyle w:val="ListParagraph"/>
              <w:ind w:left="0"/>
              <w:rPr>
                <w:rFonts w:ascii="Segoe UI" w:hAnsi="Segoe UI" w:cs="Segoe UI"/>
                <w:sz w:val="24"/>
                <w:szCs w:val="24"/>
                <w:lang w:val="en-US"/>
              </w:rPr>
            </w:pPr>
          </w:p>
          <w:p w14:paraId="745FA485" w14:textId="77777777" w:rsidR="00AE7DD4" w:rsidRPr="007B6616" w:rsidRDefault="00AE7DD4" w:rsidP="00C54C0E">
            <w:pPr>
              <w:pStyle w:val="ListParagraph"/>
              <w:ind w:left="0"/>
              <w:rPr>
                <w:rFonts w:ascii="Segoe UI" w:hAnsi="Segoe UI" w:cs="Segoe UI"/>
                <w:sz w:val="24"/>
                <w:szCs w:val="24"/>
                <w:lang w:val="en-US"/>
              </w:rPr>
            </w:pPr>
          </w:p>
          <w:p w14:paraId="01624FD4" w14:textId="548F38BF"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Timelines and Processes</w:t>
            </w:r>
          </w:p>
        </w:tc>
        <w:tc>
          <w:tcPr>
            <w:tcW w:w="6520" w:type="dxa"/>
          </w:tcPr>
          <w:p w14:paraId="125EA7F2" w14:textId="77777777" w:rsidR="00AE7DD4" w:rsidRPr="007B6616" w:rsidRDefault="00AE7DD4" w:rsidP="00856D3F">
            <w:pPr>
              <w:pStyle w:val="ListParagraph"/>
              <w:numPr>
                <w:ilvl w:val="0"/>
                <w:numId w:val="22"/>
              </w:numPr>
              <w:rPr>
                <w:rFonts w:ascii="Segoe UI" w:hAnsi="Segoe UI" w:cs="Segoe UI"/>
                <w:color w:val="000000"/>
                <w:sz w:val="24"/>
                <w:szCs w:val="24"/>
              </w:rPr>
            </w:pPr>
            <w:r w:rsidRPr="007B6616">
              <w:rPr>
                <w:rFonts w:ascii="Segoe UI" w:hAnsi="Segoe UI" w:cs="Segoe UI"/>
                <w:color w:val="000000"/>
                <w:sz w:val="24"/>
                <w:szCs w:val="24"/>
              </w:rPr>
              <w:t>Why did the due diligence process result in the selection of the BWRX-300 if that specific technology wasn’t studied in the design of the PPE?</w:t>
            </w:r>
          </w:p>
          <w:p w14:paraId="22703F3D" w14:textId="11D599B2" w:rsidR="00AE7DD4" w:rsidRPr="007B6616" w:rsidRDefault="00AE7DD4" w:rsidP="00856D3F">
            <w:pPr>
              <w:pStyle w:val="ListParagraph"/>
              <w:numPr>
                <w:ilvl w:val="0"/>
                <w:numId w:val="22"/>
              </w:numPr>
              <w:rPr>
                <w:rFonts w:ascii="Segoe UI" w:hAnsi="Segoe UI" w:cs="Segoe UI"/>
                <w:color w:val="000000"/>
                <w:sz w:val="24"/>
                <w:szCs w:val="24"/>
              </w:rPr>
            </w:pPr>
            <w:r w:rsidRPr="007B6616">
              <w:rPr>
                <w:rFonts w:ascii="Segoe UI" w:hAnsi="Segoe UI" w:cs="Segoe UI"/>
                <w:color w:val="000000"/>
                <w:sz w:val="24"/>
                <w:szCs w:val="24"/>
              </w:rPr>
              <w:t>As per above comments, concerns regarding the lack of guarantee for long-term protection of the SAR habitat on site in previous consultations. OPG was unwilling to accommodate either of our requests.</w:t>
            </w:r>
          </w:p>
          <w:p w14:paraId="3CB63300" w14:textId="77C32E59" w:rsidR="00AE7DD4" w:rsidRPr="007B6616" w:rsidRDefault="00AE7DD4" w:rsidP="00856D3F">
            <w:pPr>
              <w:pStyle w:val="ListParagraph"/>
              <w:numPr>
                <w:ilvl w:val="0"/>
                <w:numId w:val="22"/>
              </w:numPr>
              <w:rPr>
                <w:rFonts w:ascii="Segoe UI" w:hAnsi="Segoe UI" w:cs="Segoe UI"/>
                <w:color w:val="000000"/>
                <w:sz w:val="24"/>
                <w:szCs w:val="24"/>
              </w:rPr>
            </w:pPr>
            <w:r w:rsidRPr="007B6616">
              <w:rPr>
                <w:rFonts w:ascii="Segoe UI" w:hAnsi="Segoe UI" w:cs="Segoe UI"/>
                <w:color w:val="000000"/>
                <w:sz w:val="24"/>
                <w:szCs w:val="24"/>
              </w:rPr>
              <w:t>Although OPG may be unaware of the exact contents of the WTFN settlement agreement (2018), they do have relationships with many of the seven Treaty Nations. Through these relationships, OPG is aware that protection of the environment and living relatives is of high priority. When identifying rights impacted by the project and working toward accommodations, OPG should consider what they are hearing directly from impacted First Nations.</w:t>
            </w:r>
          </w:p>
          <w:p w14:paraId="339D165D" w14:textId="1359C0CF" w:rsidR="00AE7DD4" w:rsidRPr="007B6616" w:rsidRDefault="00AE7DD4" w:rsidP="00856D3F">
            <w:pPr>
              <w:pStyle w:val="ListParagraph"/>
              <w:numPr>
                <w:ilvl w:val="0"/>
                <w:numId w:val="22"/>
              </w:numPr>
              <w:rPr>
                <w:rFonts w:ascii="Segoe UI" w:hAnsi="Segoe UI" w:cs="Segoe UI"/>
                <w:color w:val="000000"/>
                <w:sz w:val="24"/>
                <w:szCs w:val="24"/>
              </w:rPr>
            </w:pPr>
            <w:r w:rsidRPr="007B6616">
              <w:rPr>
                <w:rFonts w:ascii="Segoe UI" w:hAnsi="Segoe UI" w:cs="Segoe UI"/>
                <w:color w:val="000000"/>
                <w:sz w:val="24"/>
                <w:szCs w:val="24"/>
              </w:rPr>
              <w:t>When did GE Hitachi decide to participate in the process? How long did they participate in the PPE development prior to being selected as the technology to be deployed at the DNNP site?</w:t>
            </w:r>
          </w:p>
        </w:tc>
      </w:tr>
      <w:tr w:rsidR="00AE7DD4" w:rsidRPr="007B6616" w14:paraId="190CB43B" w14:textId="77777777" w:rsidTr="007B6616">
        <w:tc>
          <w:tcPr>
            <w:tcW w:w="2830" w:type="dxa"/>
          </w:tcPr>
          <w:p w14:paraId="42BC6808" w14:textId="03235ABB"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General</w:t>
            </w:r>
          </w:p>
        </w:tc>
        <w:tc>
          <w:tcPr>
            <w:tcW w:w="6520" w:type="dxa"/>
          </w:tcPr>
          <w:p w14:paraId="76240B5B" w14:textId="77777777" w:rsidR="00AE7DD4" w:rsidRPr="007B6616" w:rsidRDefault="00AE7DD4" w:rsidP="00856D3F">
            <w:pPr>
              <w:pStyle w:val="ListParagraph"/>
              <w:numPr>
                <w:ilvl w:val="0"/>
                <w:numId w:val="23"/>
              </w:numPr>
              <w:rPr>
                <w:rFonts w:ascii="Segoe UI" w:hAnsi="Segoe UI" w:cs="Segoe UI"/>
                <w:color w:val="000000"/>
                <w:sz w:val="24"/>
                <w:szCs w:val="24"/>
              </w:rPr>
            </w:pPr>
            <w:r w:rsidRPr="007B6616">
              <w:rPr>
                <w:rFonts w:ascii="Segoe UI" w:hAnsi="Segoe UI" w:cs="Segoe UI"/>
                <w:color w:val="000000"/>
                <w:sz w:val="24"/>
                <w:szCs w:val="24"/>
              </w:rPr>
              <w:t>It is recommended that consistency be maintained in the units of measurement to prevent potential errors in the future. Section 17.1.2 provides the value in "tonnes," while section 18.1.2 provides the value in "metric tons."</w:t>
            </w:r>
          </w:p>
          <w:p w14:paraId="43F2C704" w14:textId="77777777" w:rsidR="00AE7DD4" w:rsidRPr="007B6616" w:rsidRDefault="00AE7DD4" w:rsidP="00856D3F">
            <w:pPr>
              <w:pStyle w:val="ListParagraph"/>
              <w:numPr>
                <w:ilvl w:val="0"/>
                <w:numId w:val="23"/>
              </w:numPr>
              <w:rPr>
                <w:rFonts w:ascii="Segoe UI" w:hAnsi="Segoe UI" w:cs="Segoe UI"/>
                <w:color w:val="000000"/>
                <w:sz w:val="24"/>
                <w:szCs w:val="24"/>
              </w:rPr>
            </w:pPr>
            <w:r w:rsidRPr="007B6616">
              <w:rPr>
                <w:rFonts w:ascii="Segoe UI" w:hAnsi="Segoe UI" w:cs="Segoe UI"/>
                <w:color w:val="000000"/>
                <w:sz w:val="24"/>
                <w:szCs w:val="24"/>
              </w:rPr>
              <w:t xml:space="preserve">Sections 9.3.1, 10.1.1, and 10.1.2 </w:t>
            </w:r>
            <w:proofErr w:type="gramStart"/>
            <w:r w:rsidRPr="007B6616">
              <w:rPr>
                <w:rFonts w:ascii="Segoe UI" w:hAnsi="Segoe UI" w:cs="Segoe UI"/>
                <w:color w:val="000000"/>
                <w:sz w:val="24"/>
                <w:szCs w:val="24"/>
              </w:rPr>
              <w:t>make reference</w:t>
            </w:r>
            <w:proofErr w:type="gramEnd"/>
            <w:r w:rsidRPr="007B6616">
              <w:rPr>
                <w:rFonts w:ascii="Segoe UI" w:hAnsi="Segoe UI" w:cs="Segoe UI"/>
                <w:color w:val="000000"/>
                <w:sz w:val="24"/>
                <w:szCs w:val="24"/>
              </w:rPr>
              <w:t xml:space="preserve"> to CNSC G-129, which has been superseded by REGDOC 2.7.1 as of July 2021. While it is understood that G-129 requirements are a part of REGDOC 2.7.1, it is recommended that current regulatory documents be referenced throughout. This ensures consistency and communicates an understanding of and adherence to current safety regulatory requirements.</w:t>
            </w:r>
          </w:p>
          <w:p w14:paraId="50EFC2B0" w14:textId="6562D43F" w:rsidR="00AE7DD4" w:rsidRPr="007B6616" w:rsidRDefault="00AE7DD4" w:rsidP="00856D3F">
            <w:pPr>
              <w:pStyle w:val="ListParagraph"/>
              <w:numPr>
                <w:ilvl w:val="0"/>
                <w:numId w:val="23"/>
              </w:numPr>
              <w:rPr>
                <w:rFonts w:ascii="Segoe UI" w:hAnsi="Segoe UI" w:cs="Segoe UI"/>
                <w:b/>
                <w:bCs/>
                <w:sz w:val="24"/>
                <w:szCs w:val="24"/>
              </w:rPr>
            </w:pPr>
            <w:r w:rsidRPr="007B6616">
              <w:rPr>
                <w:rFonts w:ascii="Segoe UI" w:hAnsi="Segoe UI" w:cs="Segoe UI"/>
                <w:color w:val="000000"/>
                <w:sz w:val="24"/>
                <w:szCs w:val="24"/>
              </w:rPr>
              <w:t>There is inconsistency in the units used for land area measurement in the document. Specifically, hectares are used in section 2.7.1, while both m2 and acres are used in section 3.3.1. Additionally, the values provided in the actual "acreage" section (17.2) are in hectares, which further adds to the confusion. It is recommended that uniformity in the units be used for land area throughout the document to avoid any ambiguity.</w:t>
            </w:r>
          </w:p>
        </w:tc>
      </w:tr>
      <w:tr w:rsidR="00AE7DD4" w:rsidRPr="007B6616" w14:paraId="5C2D3186" w14:textId="77777777" w:rsidTr="007B6616">
        <w:tc>
          <w:tcPr>
            <w:tcW w:w="2830" w:type="dxa"/>
          </w:tcPr>
          <w:p w14:paraId="7BA71A76" w14:textId="180E94E2"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Timelines and Processes</w:t>
            </w:r>
          </w:p>
        </w:tc>
        <w:tc>
          <w:tcPr>
            <w:tcW w:w="6520" w:type="dxa"/>
          </w:tcPr>
          <w:p w14:paraId="54AF17B4" w14:textId="4D7F66DE" w:rsidR="00AE7DD4" w:rsidRPr="007B6616" w:rsidRDefault="00AE7DD4" w:rsidP="00856D3F">
            <w:pPr>
              <w:pStyle w:val="ListParagraph"/>
              <w:numPr>
                <w:ilvl w:val="0"/>
                <w:numId w:val="24"/>
              </w:numPr>
              <w:rPr>
                <w:rFonts w:ascii="Segoe UI" w:hAnsi="Segoe UI" w:cs="Segoe UI"/>
                <w:b/>
                <w:bCs/>
                <w:sz w:val="24"/>
                <w:szCs w:val="24"/>
              </w:rPr>
            </w:pPr>
            <w:r w:rsidRPr="007B6616">
              <w:rPr>
                <w:rFonts w:ascii="Segoe UI" w:hAnsi="Segoe UI" w:cs="Segoe UI"/>
                <w:color w:val="000000"/>
                <w:sz w:val="24"/>
                <w:szCs w:val="24"/>
              </w:rPr>
              <w:t>What are the expected timelines for the DNNP?</w:t>
            </w:r>
          </w:p>
        </w:tc>
      </w:tr>
      <w:tr w:rsidR="00AE7DD4" w:rsidRPr="007B6616" w14:paraId="1F55CE1B" w14:textId="77777777" w:rsidTr="007B6616">
        <w:tc>
          <w:tcPr>
            <w:tcW w:w="2830" w:type="dxa"/>
          </w:tcPr>
          <w:p w14:paraId="298E9B64" w14:textId="2459626C"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Timelines and Processes</w:t>
            </w:r>
          </w:p>
        </w:tc>
        <w:tc>
          <w:tcPr>
            <w:tcW w:w="6520" w:type="dxa"/>
          </w:tcPr>
          <w:p w14:paraId="1C9757BD" w14:textId="77777777" w:rsidR="00AE7DD4" w:rsidRPr="007B6616" w:rsidRDefault="00AE7DD4" w:rsidP="00856D3F">
            <w:pPr>
              <w:pStyle w:val="ListParagraph"/>
              <w:numPr>
                <w:ilvl w:val="0"/>
                <w:numId w:val="24"/>
              </w:numPr>
              <w:rPr>
                <w:rFonts w:ascii="Segoe UI" w:hAnsi="Segoe UI" w:cs="Segoe UI"/>
                <w:color w:val="000000"/>
                <w:sz w:val="24"/>
                <w:szCs w:val="24"/>
              </w:rPr>
            </w:pPr>
            <w:r w:rsidRPr="007B6616">
              <w:rPr>
                <w:rFonts w:ascii="Segoe UI" w:hAnsi="Segoe UI" w:cs="Segoe UI"/>
                <w:color w:val="000000"/>
                <w:sz w:val="24"/>
                <w:szCs w:val="24"/>
              </w:rPr>
              <w:t xml:space="preserve">As discussed above, both the EIS and PPE are highly context-dependant documents, part of a process initiated in 2009 that was subject to two court rulings (though ultimately affirmed). This full context and the supporting documents referenced in OPG’s EIS and PPE should have been made available alongside the 2022 EIS and PPE documents themselves – both on the CNSC consultation website as well as OPG’s own website. The follow-up studies required by the EA report of the JRP should also have been explicitly discussed by OPG in their application and shared online with the public along with the current EIS and PPE documents. This is still something that can be done now, as intervenors like </w:t>
            </w:r>
            <w:proofErr w:type="gramStart"/>
            <w:r w:rsidRPr="007B6616">
              <w:rPr>
                <w:rFonts w:ascii="Segoe UI" w:hAnsi="Segoe UI" w:cs="Segoe UI"/>
                <w:color w:val="000000"/>
                <w:sz w:val="24"/>
                <w:szCs w:val="24"/>
              </w:rPr>
              <w:t>ourselves</w:t>
            </w:r>
            <w:proofErr w:type="gramEnd"/>
            <w:r w:rsidRPr="007B6616">
              <w:rPr>
                <w:rFonts w:ascii="Segoe UI" w:hAnsi="Segoe UI" w:cs="Segoe UI"/>
                <w:color w:val="000000"/>
                <w:sz w:val="24"/>
                <w:szCs w:val="24"/>
              </w:rPr>
              <w:t xml:space="preserve"> continue to study this proposal and prepare for any further environmental review or application by OPG for a licence to construct new reactors at the Darlington site.</w:t>
            </w:r>
          </w:p>
          <w:p w14:paraId="5EEC03AC" w14:textId="750DB1C4" w:rsidR="00AE7DD4" w:rsidRPr="007B6616" w:rsidRDefault="00AE7DD4" w:rsidP="00856D3F">
            <w:pPr>
              <w:pStyle w:val="ListParagraph"/>
              <w:numPr>
                <w:ilvl w:val="0"/>
                <w:numId w:val="24"/>
              </w:numPr>
              <w:rPr>
                <w:rFonts w:ascii="Segoe UI" w:hAnsi="Segoe UI" w:cs="Segoe UI"/>
                <w:b/>
                <w:bCs/>
                <w:sz w:val="24"/>
                <w:szCs w:val="24"/>
              </w:rPr>
            </w:pPr>
            <w:r w:rsidRPr="007B6616">
              <w:rPr>
                <w:rFonts w:ascii="Segoe UI" w:hAnsi="Segoe UI" w:cs="Segoe UI"/>
                <w:color w:val="000000"/>
                <w:sz w:val="24"/>
                <w:szCs w:val="24"/>
              </w:rPr>
              <w:t>Projects like these underscore the importance of proactive routine environmental performance disclosures, so that members of the public can ground their reviews of the proposed project in larger understandings of the Darlington site and how existing nuclear facilities engage with the local ecosystem in which they are embedded.</w:t>
            </w:r>
          </w:p>
        </w:tc>
      </w:tr>
      <w:tr w:rsidR="00AE7DD4" w:rsidRPr="007B6616" w14:paraId="6CF11EA2" w14:textId="77777777" w:rsidTr="007B6616">
        <w:tc>
          <w:tcPr>
            <w:tcW w:w="2830" w:type="dxa"/>
          </w:tcPr>
          <w:p w14:paraId="120482CE" w14:textId="12C55CC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Indigenous Nations Relationships</w:t>
            </w:r>
          </w:p>
        </w:tc>
        <w:tc>
          <w:tcPr>
            <w:tcW w:w="6520" w:type="dxa"/>
          </w:tcPr>
          <w:p w14:paraId="521AE5DD" w14:textId="15FC0510" w:rsidR="00AE7DD4" w:rsidRPr="007B6616" w:rsidRDefault="00AE7DD4" w:rsidP="00856D3F">
            <w:pPr>
              <w:pStyle w:val="ListParagraph"/>
              <w:numPr>
                <w:ilvl w:val="0"/>
                <w:numId w:val="25"/>
              </w:numPr>
              <w:rPr>
                <w:rFonts w:ascii="Segoe UI" w:hAnsi="Segoe UI" w:cs="Segoe UI"/>
                <w:b/>
                <w:bCs/>
                <w:sz w:val="24"/>
                <w:szCs w:val="24"/>
              </w:rPr>
            </w:pPr>
            <w:r w:rsidRPr="007B6616">
              <w:rPr>
                <w:rFonts w:ascii="Segoe UI" w:hAnsi="Segoe UI" w:cs="Segoe UI"/>
                <w:color w:val="000000"/>
                <w:sz w:val="24"/>
                <w:szCs w:val="24"/>
              </w:rPr>
              <w:t>Why is there no mention of the Gunshot Treaty within the land acknowledgment and in the report? How are Inherent and Treaty Rights upheld throughout the provided report?</w:t>
            </w:r>
          </w:p>
        </w:tc>
      </w:tr>
      <w:tr w:rsidR="009F2F2E" w:rsidRPr="007B6616" w14:paraId="27335E4E" w14:textId="77777777" w:rsidTr="00C150DB">
        <w:tc>
          <w:tcPr>
            <w:tcW w:w="9350" w:type="dxa"/>
            <w:gridSpan w:val="2"/>
            <w:shd w:val="clear" w:color="auto" w:fill="D9D9D9" w:themeFill="background1" w:themeFillShade="D9"/>
          </w:tcPr>
          <w:p w14:paraId="12FDA1C3" w14:textId="620F775E" w:rsidR="009F2F2E" w:rsidRPr="007B6616" w:rsidRDefault="009F2F2E" w:rsidP="00C54C0E">
            <w:pPr>
              <w:pStyle w:val="ListParagraph"/>
              <w:ind w:left="0"/>
              <w:rPr>
                <w:rFonts w:ascii="Segoe UI" w:hAnsi="Segoe UI" w:cs="Segoe UI"/>
                <w:b/>
                <w:bCs/>
                <w:sz w:val="24"/>
                <w:szCs w:val="24"/>
                <w:lang w:val="en-US"/>
              </w:rPr>
            </w:pPr>
            <w:r w:rsidRPr="007B6616">
              <w:rPr>
                <w:rFonts w:ascii="Segoe UI" w:hAnsi="Segoe UI" w:cs="Segoe UI"/>
                <w:b/>
                <w:bCs/>
                <w:sz w:val="24"/>
                <w:szCs w:val="24"/>
                <w:lang w:val="en-US"/>
              </w:rPr>
              <w:t>Hazards Assessment</w:t>
            </w:r>
          </w:p>
        </w:tc>
      </w:tr>
      <w:tr w:rsidR="00AE7DD4" w:rsidRPr="007B6616" w14:paraId="6CF6F553" w14:textId="77777777" w:rsidTr="007B6616">
        <w:tc>
          <w:tcPr>
            <w:tcW w:w="2830" w:type="dxa"/>
          </w:tcPr>
          <w:p w14:paraId="520D8998"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Severe Accident Management</w:t>
            </w:r>
          </w:p>
          <w:p w14:paraId="6466CB34" w14:textId="77777777" w:rsidR="00AE7DD4" w:rsidRPr="007B6616" w:rsidRDefault="00AE7DD4" w:rsidP="00C54C0E">
            <w:pPr>
              <w:pStyle w:val="ListParagraph"/>
              <w:ind w:left="0"/>
              <w:rPr>
                <w:rFonts w:ascii="Segoe UI" w:hAnsi="Segoe UI" w:cs="Segoe UI"/>
                <w:sz w:val="24"/>
                <w:szCs w:val="24"/>
                <w:lang w:val="en-US"/>
              </w:rPr>
            </w:pPr>
          </w:p>
          <w:p w14:paraId="3224311F" w14:textId="77777777" w:rsidR="00AE7DD4" w:rsidRPr="007B6616" w:rsidRDefault="00AE7DD4" w:rsidP="00C54C0E">
            <w:pPr>
              <w:pStyle w:val="ListParagraph"/>
              <w:ind w:left="0"/>
              <w:rPr>
                <w:rFonts w:ascii="Segoe UI" w:hAnsi="Segoe UI" w:cs="Segoe UI"/>
                <w:sz w:val="24"/>
                <w:szCs w:val="24"/>
                <w:lang w:val="en-US"/>
              </w:rPr>
            </w:pPr>
          </w:p>
          <w:p w14:paraId="2BF7B47C" w14:textId="77777777" w:rsidR="00AE7DD4" w:rsidRPr="007B6616" w:rsidRDefault="00AE7DD4" w:rsidP="00C54C0E">
            <w:pPr>
              <w:pStyle w:val="ListParagraph"/>
              <w:ind w:left="0"/>
              <w:rPr>
                <w:rFonts w:ascii="Segoe UI" w:hAnsi="Segoe UI" w:cs="Segoe UI"/>
                <w:sz w:val="24"/>
                <w:szCs w:val="24"/>
                <w:lang w:val="en-US"/>
              </w:rPr>
            </w:pPr>
          </w:p>
          <w:p w14:paraId="67F33C8B" w14:textId="665AD10A"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Severe Accident Assessment</w:t>
            </w:r>
          </w:p>
        </w:tc>
        <w:tc>
          <w:tcPr>
            <w:tcW w:w="6520" w:type="dxa"/>
          </w:tcPr>
          <w:p w14:paraId="741197FE" w14:textId="77777777" w:rsidR="00AE7DD4" w:rsidRPr="007B6616" w:rsidRDefault="00AE7DD4" w:rsidP="00856D3F">
            <w:pPr>
              <w:pStyle w:val="ListParagraph"/>
              <w:numPr>
                <w:ilvl w:val="0"/>
                <w:numId w:val="25"/>
              </w:numPr>
              <w:rPr>
                <w:rFonts w:ascii="Segoe UI" w:hAnsi="Segoe UI" w:cs="Segoe UI"/>
                <w:color w:val="000000"/>
                <w:sz w:val="24"/>
                <w:szCs w:val="24"/>
              </w:rPr>
            </w:pPr>
            <w:r w:rsidRPr="007B6616">
              <w:rPr>
                <w:rFonts w:ascii="Segoe UI" w:hAnsi="Segoe UI" w:cs="Segoe UI"/>
                <w:color w:val="000000"/>
                <w:sz w:val="24"/>
                <w:szCs w:val="24"/>
              </w:rPr>
              <w:t>Some very important lessons were learnt from Fukushima. There is no mention of any comparison of risk between various designs; especially from BWRX-300 except that claims of eternal and near absolute safety are made.</w:t>
            </w:r>
          </w:p>
          <w:p w14:paraId="79668486" w14:textId="27DB24FD" w:rsidR="00AE7DD4" w:rsidRPr="007B6616" w:rsidRDefault="00AE7DD4" w:rsidP="00856D3F">
            <w:pPr>
              <w:pStyle w:val="ListParagraph"/>
              <w:numPr>
                <w:ilvl w:val="0"/>
                <w:numId w:val="25"/>
              </w:numPr>
              <w:rPr>
                <w:rFonts w:ascii="Segoe UI" w:hAnsi="Segoe UI" w:cs="Segoe UI"/>
                <w:b/>
                <w:bCs/>
                <w:sz w:val="24"/>
                <w:szCs w:val="24"/>
              </w:rPr>
            </w:pPr>
            <w:r w:rsidRPr="007B6616">
              <w:rPr>
                <w:rFonts w:ascii="Segoe UI" w:hAnsi="Segoe UI" w:cs="Segoe UI"/>
                <w:color w:val="000000"/>
                <w:sz w:val="24"/>
                <w:szCs w:val="24"/>
              </w:rPr>
              <w:t xml:space="preserve">Drawing on the lessons of Fukushima regarding the special vulnerabilities of co-located reactors, </w:t>
            </w:r>
            <w:r w:rsidR="007B6616">
              <w:rPr>
                <w:rFonts w:ascii="Segoe UI" w:hAnsi="Segoe UI" w:cs="Segoe UI"/>
                <w:color w:val="000000"/>
                <w:sz w:val="24"/>
                <w:szCs w:val="24"/>
              </w:rPr>
              <w:t xml:space="preserve">respondent </w:t>
            </w:r>
            <w:r w:rsidRPr="007B6616">
              <w:rPr>
                <w:rFonts w:ascii="Segoe UI" w:hAnsi="Segoe UI" w:cs="Segoe UI"/>
                <w:color w:val="000000"/>
                <w:sz w:val="24"/>
                <w:szCs w:val="24"/>
              </w:rPr>
              <w:t>urges that construction of any new reactors within the exclusion zone of the existing DNGS four-reactor complex must be ruled out as against the public interest.</w:t>
            </w:r>
          </w:p>
        </w:tc>
      </w:tr>
      <w:tr w:rsidR="00AE7DD4" w:rsidRPr="007B6616" w14:paraId="6AB8F431" w14:textId="77777777" w:rsidTr="007B6616">
        <w:tc>
          <w:tcPr>
            <w:tcW w:w="2830" w:type="dxa"/>
          </w:tcPr>
          <w:p w14:paraId="011FB4F8"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Fire Protection</w:t>
            </w:r>
          </w:p>
          <w:p w14:paraId="76CE071E" w14:textId="77777777" w:rsidR="00AE7DD4" w:rsidRPr="007B6616" w:rsidRDefault="00AE7DD4" w:rsidP="00C54C0E">
            <w:pPr>
              <w:pStyle w:val="ListParagraph"/>
              <w:ind w:left="0"/>
              <w:rPr>
                <w:rFonts w:ascii="Segoe UI" w:hAnsi="Segoe UI" w:cs="Segoe UI"/>
                <w:sz w:val="24"/>
                <w:szCs w:val="24"/>
                <w:lang w:val="en-US"/>
              </w:rPr>
            </w:pPr>
          </w:p>
          <w:p w14:paraId="23A7AB0B" w14:textId="77777777" w:rsidR="00AE7DD4" w:rsidRPr="007B6616" w:rsidRDefault="00AE7DD4" w:rsidP="00C54C0E">
            <w:pPr>
              <w:pStyle w:val="ListParagraph"/>
              <w:ind w:left="0"/>
              <w:rPr>
                <w:rFonts w:ascii="Segoe UI" w:hAnsi="Segoe UI" w:cs="Segoe UI"/>
                <w:sz w:val="24"/>
                <w:szCs w:val="24"/>
                <w:lang w:val="en-US"/>
              </w:rPr>
            </w:pPr>
          </w:p>
          <w:p w14:paraId="6D66EC04" w14:textId="77777777" w:rsidR="00AE7DD4" w:rsidRPr="007B6616" w:rsidRDefault="00AE7DD4" w:rsidP="00C54C0E">
            <w:pPr>
              <w:pStyle w:val="ListParagraph"/>
              <w:ind w:left="0"/>
              <w:rPr>
                <w:rFonts w:ascii="Segoe UI" w:hAnsi="Segoe UI" w:cs="Segoe UI"/>
                <w:sz w:val="24"/>
                <w:szCs w:val="24"/>
                <w:lang w:val="en-US"/>
              </w:rPr>
            </w:pPr>
          </w:p>
          <w:p w14:paraId="300D4F46"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Severe Accident Management</w:t>
            </w:r>
          </w:p>
          <w:p w14:paraId="67BAB0D1" w14:textId="77777777" w:rsidR="00AE7DD4" w:rsidRPr="007B6616" w:rsidRDefault="00AE7DD4" w:rsidP="00C54C0E">
            <w:pPr>
              <w:pStyle w:val="ListParagraph"/>
              <w:ind w:left="0"/>
              <w:rPr>
                <w:rFonts w:ascii="Segoe UI" w:hAnsi="Segoe UI" w:cs="Segoe UI"/>
                <w:sz w:val="24"/>
                <w:szCs w:val="24"/>
                <w:lang w:val="en-US"/>
              </w:rPr>
            </w:pPr>
          </w:p>
          <w:p w14:paraId="1E529D6C" w14:textId="77777777" w:rsidR="00AE7DD4" w:rsidRPr="007B6616" w:rsidRDefault="00AE7DD4" w:rsidP="00C54C0E">
            <w:pPr>
              <w:pStyle w:val="ListParagraph"/>
              <w:ind w:left="0"/>
              <w:rPr>
                <w:rFonts w:ascii="Segoe UI" w:hAnsi="Segoe UI" w:cs="Segoe UI"/>
                <w:sz w:val="24"/>
                <w:szCs w:val="24"/>
                <w:lang w:val="en-US"/>
              </w:rPr>
            </w:pPr>
          </w:p>
          <w:p w14:paraId="2DAAE8AB" w14:textId="77777777" w:rsidR="00AE7DD4" w:rsidRPr="007B6616" w:rsidRDefault="00AE7DD4" w:rsidP="00C54C0E">
            <w:pPr>
              <w:pStyle w:val="ListParagraph"/>
              <w:ind w:left="0"/>
              <w:rPr>
                <w:rFonts w:ascii="Segoe UI" w:hAnsi="Segoe UI" w:cs="Segoe UI"/>
                <w:sz w:val="24"/>
                <w:szCs w:val="24"/>
                <w:lang w:val="en-US"/>
              </w:rPr>
            </w:pPr>
          </w:p>
          <w:p w14:paraId="4D3DFBB0" w14:textId="77777777" w:rsidR="00AE7DD4" w:rsidRPr="007B6616" w:rsidRDefault="00AE7DD4" w:rsidP="00C54C0E">
            <w:pPr>
              <w:pStyle w:val="ListParagraph"/>
              <w:ind w:left="0"/>
              <w:rPr>
                <w:rFonts w:ascii="Segoe UI" w:hAnsi="Segoe UI" w:cs="Segoe UI"/>
                <w:sz w:val="24"/>
                <w:szCs w:val="24"/>
                <w:lang w:val="en-US"/>
              </w:rPr>
            </w:pPr>
          </w:p>
          <w:p w14:paraId="77C54CDE" w14:textId="77777777" w:rsidR="00AE7DD4" w:rsidRPr="007B6616" w:rsidRDefault="00AE7DD4" w:rsidP="00C54C0E">
            <w:pPr>
              <w:pStyle w:val="ListParagraph"/>
              <w:ind w:left="0"/>
              <w:rPr>
                <w:rFonts w:ascii="Segoe UI" w:hAnsi="Segoe UI" w:cs="Segoe UI"/>
                <w:sz w:val="24"/>
                <w:szCs w:val="24"/>
                <w:lang w:val="en-US"/>
              </w:rPr>
            </w:pPr>
          </w:p>
          <w:p w14:paraId="3E9A8E38" w14:textId="77777777" w:rsidR="00AE7DD4" w:rsidRPr="007B6616" w:rsidRDefault="00AE7DD4" w:rsidP="00C54C0E">
            <w:pPr>
              <w:pStyle w:val="ListParagraph"/>
              <w:ind w:left="0"/>
              <w:rPr>
                <w:rFonts w:ascii="Segoe UI" w:hAnsi="Segoe UI" w:cs="Segoe UI"/>
                <w:sz w:val="24"/>
                <w:szCs w:val="24"/>
                <w:lang w:val="en-US"/>
              </w:rPr>
            </w:pPr>
          </w:p>
          <w:p w14:paraId="4B1B18AC" w14:textId="77777777" w:rsidR="00AE7DD4" w:rsidRPr="007B6616" w:rsidRDefault="00AE7DD4" w:rsidP="00C54C0E">
            <w:pPr>
              <w:pStyle w:val="ListParagraph"/>
              <w:ind w:left="0"/>
              <w:rPr>
                <w:rFonts w:ascii="Segoe UI" w:hAnsi="Segoe UI" w:cs="Segoe UI"/>
                <w:sz w:val="24"/>
                <w:szCs w:val="24"/>
                <w:lang w:val="en-US"/>
              </w:rPr>
            </w:pPr>
          </w:p>
          <w:p w14:paraId="14132302" w14:textId="77777777" w:rsidR="00AE7DD4" w:rsidRPr="007B6616" w:rsidRDefault="00AE7DD4" w:rsidP="00C54C0E">
            <w:pPr>
              <w:pStyle w:val="ListParagraph"/>
              <w:ind w:left="0"/>
              <w:rPr>
                <w:rFonts w:ascii="Segoe UI" w:hAnsi="Segoe UI" w:cs="Segoe UI"/>
                <w:sz w:val="24"/>
                <w:szCs w:val="24"/>
                <w:lang w:val="en-US"/>
              </w:rPr>
            </w:pPr>
          </w:p>
          <w:p w14:paraId="61348ED3" w14:textId="77777777" w:rsidR="00AE7DD4" w:rsidRPr="007B6616" w:rsidRDefault="00AE7DD4" w:rsidP="00C54C0E">
            <w:pPr>
              <w:pStyle w:val="ListParagraph"/>
              <w:ind w:left="0"/>
              <w:rPr>
                <w:rFonts w:ascii="Segoe UI" w:hAnsi="Segoe UI" w:cs="Segoe UI"/>
                <w:sz w:val="24"/>
                <w:szCs w:val="24"/>
                <w:lang w:val="en-US"/>
              </w:rPr>
            </w:pPr>
          </w:p>
          <w:p w14:paraId="260E1F7D" w14:textId="77777777" w:rsidR="00AE7DD4" w:rsidRPr="007B6616" w:rsidRDefault="00AE7DD4" w:rsidP="00C54C0E">
            <w:pPr>
              <w:pStyle w:val="ListParagraph"/>
              <w:ind w:left="0"/>
              <w:rPr>
                <w:rFonts w:ascii="Segoe UI" w:hAnsi="Segoe UI" w:cs="Segoe UI"/>
                <w:sz w:val="24"/>
                <w:szCs w:val="24"/>
                <w:lang w:val="en-US"/>
              </w:rPr>
            </w:pPr>
          </w:p>
          <w:p w14:paraId="453B1B4E" w14:textId="77777777" w:rsidR="00AE7DD4" w:rsidRPr="007B6616" w:rsidRDefault="00AE7DD4" w:rsidP="00C54C0E">
            <w:pPr>
              <w:pStyle w:val="ListParagraph"/>
              <w:ind w:left="0"/>
              <w:rPr>
                <w:rFonts w:ascii="Segoe UI" w:hAnsi="Segoe UI" w:cs="Segoe UI"/>
                <w:sz w:val="24"/>
                <w:szCs w:val="24"/>
                <w:lang w:val="en-US"/>
              </w:rPr>
            </w:pPr>
          </w:p>
          <w:p w14:paraId="393E7720" w14:textId="77777777" w:rsidR="00AE7DD4" w:rsidRPr="007B6616" w:rsidRDefault="00AE7DD4" w:rsidP="00C54C0E">
            <w:pPr>
              <w:pStyle w:val="ListParagraph"/>
              <w:ind w:left="0"/>
              <w:rPr>
                <w:rFonts w:ascii="Segoe UI" w:hAnsi="Segoe UI" w:cs="Segoe UI"/>
                <w:sz w:val="24"/>
                <w:szCs w:val="24"/>
                <w:lang w:val="en-US"/>
              </w:rPr>
            </w:pPr>
          </w:p>
          <w:p w14:paraId="68144517" w14:textId="77777777" w:rsidR="00AE7DD4" w:rsidRPr="007B6616" w:rsidRDefault="00AE7DD4" w:rsidP="00C54C0E">
            <w:pPr>
              <w:pStyle w:val="ListParagraph"/>
              <w:ind w:left="0"/>
              <w:rPr>
                <w:rFonts w:ascii="Segoe UI" w:hAnsi="Segoe UI" w:cs="Segoe UI"/>
                <w:sz w:val="24"/>
                <w:szCs w:val="24"/>
                <w:lang w:val="en-US"/>
              </w:rPr>
            </w:pPr>
          </w:p>
          <w:p w14:paraId="07EBF8C4" w14:textId="77777777" w:rsidR="00AE7DD4" w:rsidRPr="007B6616" w:rsidRDefault="00AE7DD4" w:rsidP="00C54C0E">
            <w:pPr>
              <w:pStyle w:val="ListParagraph"/>
              <w:ind w:left="0"/>
              <w:rPr>
                <w:rFonts w:ascii="Segoe UI" w:hAnsi="Segoe UI" w:cs="Segoe UI"/>
                <w:sz w:val="24"/>
                <w:szCs w:val="24"/>
                <w:lang w:val="en-US"/>
              </w:rPr>
            </w:pPr>
          </w:p>
          <w:p w14:paraId="307E8F9B" w14:textId="77777777" w:rsidR="00AE7DD4" w:rsidRPr="007B6616" w:rsidRDefault="00AE7DD4" w:rsidP="00C54C0E">
            <w:pPr>
              <w:pStyle w:val="ListParagraph"/>
              <w:ind w:left="0"/>
              <w:rPr>
                <w:rFonts w:ascii="Segoe UI" w:hAnsi="Segoe UI" w:cs="Segoe UI"/>
                <w:sz w:val="24"/>
                <w:szCs w:val="24"/>
                <w:lang w:val="en-US"/>
              </w:rPr>
            </w:pPr>
          </w:p>
          <w:p w14:paraId="62332AAC" w14:textId="3026A872"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Severe Accident Assessment</w:t>
            </w:r>
          </w:p>
        </w:tc>
        <w:tc>
          <w:tcPr>
            <w:tcW w:w="6520" w:type="dxa"/>
          </w:tcPr>
          <w:p w14:paraId="43179342" w14:textId="77777777" w:rsidR="00AE7DD4" w:rsidRPr="007B6616" w:rsidRDefault="00AE7DD4" w:rsidP="00856D3F">
            <w:pPr>
              <w:pStyle w:val="ListParagraph"/>
              <w:numPr>
                <w:ilvl w:val="0"/>
                <w:numId w:val="26"/>
              </w:numPr>
              <w:rPr>
                <w:rFonts w:ascii="Segoe UI" w:hAnsi="Segoe UI" w:cs="Segoe UI"/>
                <w:color w:val="000000"/>
                <w:sz w:val="24"/>
                <w:szCs w:val="24"/>
              </w:rPr>
            </w:pPr>
            <w:r w:rsidRPr="007B6616">
              <w:rPr>
                <w:rFonts w:ascii="Segoe UI" w:hAnsi="Segoe UI" w:cs="Segoe UI"/>
                <w:color w:val="000000"/>
                <w:sz w:val="24"/>
                <w:szCs w:val="24"/>
              </w:rPr>
              <w:t>OPG should conduct a thorough assessment of the hazards associated with spent fuel fires at the Darlington nuclear power plant.</w:t>
            </w:r>
          </w:p>
          <w:p w14:paraId="4E639A7D" w14:textId="77777777" w:rsidR="00AE7DD4" w:rsidRPr="007B6616" w:rsidRDefault="00AE7DD4" w:rsidP="00856D3F">
            <w:pPr>
              <w:pStyle w:val="ListParagraph"/>
              <w:numPr>
                <w:ilvl w:val="0"/>
                <w:numId w:val="26"/>
              </w:numPr>
              <w:rPr>
                <w:rFonts w:ascii="Segoe UI" w:hAnsi="Segoe UI" w:cs="Segoe UI"/>
                <w:color w:val="000000"/>
                <w:sz w:val="24"/>
                <w:szCs w:val="24"/>
              </w:rPr>
            </w:pPr>
            <w:r w:rsidRPr="007B6616">
              <w:rPr>
                <w:rFonts w:ascii="Segoe UI" w:hAnsi="Segoe UI" w:cs="Segoe UI"/>
                <w:color w:val="000000"/>
                <w:sz w:val="24"/>
                <w:szCs w:val="24"/>
              </w:rPr>
              <w:t>OPG needs to revisit the hazard assessment of a large military aircraft accident in proximity to the BWRX-300 reactors.</w:t>
            </w:r>
          </w:p>
          <w:p w14:paraId="34F7DA8B" w14:textId="77777777" w:rsidR="00AE7DD4" w:rsidRPr="007B6616" w:rsidRDefault="00AE7DD4" w:rsidP="00856D3F">
            <w:pPr>
              <w:pStyle w:val="ListParagraph"/>
              <w:numPr>
                <w:ilvl w:val="0"/>
                <w:numId w:val="26"/>
              </w:numPr>
              <w:rPr>
                <w:rFonts w:ascii="Segoe UI" w:hAnsi="Segoe UI" w:cs="Segoe UI"/>
                <w:color w:val="000000"/>
                <w:sz w:val="24"/>
                <w:szCs w:val="24"/>
              </w:rPr>
            </w:pPr>
            <w:r w:rsidRPr="007B6616">
              <w:rPr>
                <w:rFonts w:ascii="Segoe UI" w:hAnsi="Segoe UI" w:cs="Segoe UI"/>
                <w:color w:val="000000"/>
                <w:sz w:val="24"/>
                <w:szCs w:val="24"/>
              </w:rPr>
              <w:t>OPG should conduct a hazard assessment of malevolent drone use on SMRs like the BWRX-300 reactor design, even if the likelihood of such an event occurring is low.</w:t>
            </w:r>
          </w:p>
          <w:p w14:paraId="4A659817" w14:textId="77777777" w:rsidR="00AE7DD4" w:rsidRPr="007B6616" w:rsidRDefault="00AE7DD4" w:rsidP="00856D3F">
            <w:pPr>
              <w:pStyle w:val="ListParagraph"/>
              <w:numPr>
                <w:ilvl w:val="0"/>
                <w:numId w:val="26"/>
              </w:numPr>
              <w:rPr>
                <w:rFonts w:ascii="Segoe UI" w:hAnsi="Segoe UI" w:cs="Segoe UI"/>
                <w:color w:val="000000"/>
                <w:sz w:val="24"/>
                <w:szCs w:val="24"/>
              </w:rPr>
            </w:pPr>
            <w:r w:rsidRPr="007B6616">
              <w:rPr>
                <w:rFonts w:ascii="Segoe UI" w:hAnsi="Segoe UI" w:cs="Segoe UI"/>
                <w:color w:val="000000"/>
                <w:sz w:val="24"/>
                <w:szCs w:val="24"/>
              </w:rPr>
              <w:t>The Intervenors submit that the low frequency of commercial aircraft accidents should not be a reason to screen out the risk. OPG must analyze the hazards associated with and impacts due to a commercial aircraft hitting the reactor building, or the waste management facilities, or any of other facilities and buildings located on the Darlington site.</w:t>
            </w:r>
          </w:p>
          <w:p w14:paraId="61DA10E9" w14:textId="77777777" w:rsidR="00AE7DD4" w:rsidRPr="007B6616" w:rsidRDefault="00AE7DD4" w:rsidP="00856D3F">
            <w:pPr>
              <w:pStyle w:val="ListParagraph"/>
              <w:numPr>
                <w:ilvl w:val="0"/>
                <w:numId w:val="26"/>
              </w:numPr>
              <w:rPr>
                <w:rFonts w:ascii="Segoe UI" w:hAnsi="Segoe UI" w:cs="Segoe UI"/>
                <w:color w:val="000000"/>
                <w:sz w:val="24"/>
                <w:szCs w:val="24"/>
              </w:rPr>
            </w:pPr>
            <w:r w:rsidRPr="007B6616">
              <w:rPr>
                <w:rFonts w:ascii="Segoe UI" w:hAnsi="Segoe UI" w:cs="Segoe UI"/>
                <w:color w:val="000000"/>
                <w:sz w:val="24"/>
                <w:szCs w:val="24"/>
              </w:rPr>
              <w:t>The potential for and effects of a multi-unit accident must take into consideration the relationship between the existing reactors of the Darlington Nuclear Generating Station and the proposed BWRX-300 reactors.</w:t>
            </w:r>
          </w:p>
          <w:p w14:paraId="5FF8E6BE" w14:textId="0E9A4324" w:rsidR="00AE7DD4" w:rsidRPr="007B6616" w:rsidRDefault="00AE7DD4" w:rsidP="00856D3F">
            <w:pPr>
              <w:pStyle w:val="ListParagraph"/>
              <w:numPr>
                <w:ilvl w:val="0"/>
                <w:numId w:val="26"/>
              </w:numPr>
              <w:rPr>
                <w:rFonts w:ascii="Segoe UI" w:hAnsi="Segoe UI" w:cs="Segoe UI"/>
                <w:b/>
                <w:bCs/>
                <w:sz w:val="24"/>
                <w:szCs w:val="24"/>
              </w:rPr>
            </w:pPr>
            <w:r w:rsidRPr="007B6616">
              <w:rPr>
                <w:rFonts w:ascii="Segoe UI" w:hAnsi="Segoe UI" w:cs="Segoe UI"/>
                <w:color w:val="000000"/>
                <w:sz w:val="24"/>
                <w:szCs w:val="24"/>
              </w:rPr>
              <w:t xml:space="preserve">OPG should carry out a full-fledged severe accident analysis </w:t>
            </w:r>
            <w:r w:rsidR="007B6616" w:rsidRPr="007B6616">
              <w:rPr>
                <w:rFonts w:ascii="Segoe UI" w:hAnsi="Segoe UI" w:cs="Segoe UI"/>
                <w:color w:val="000000"/>
                <w:sz w:val="24"/>
                <w:szCs w:val="24"/>
              </w:rPr>
              <w:t>considering</w:t>
            </w:r>
            <w:r w:rsidRPr="007B6616">
              <w:rPr>
                <w:rFonts w:ascii="Segoe UI" w:hAnsi="Segoe UI" w:cs="Segoe UI"/>
                <w:color w:val="000000"/>
                <w:sz w:val="24"/>
                <w:szCs w:val="24"/>
              </w:rPr>
              <w:t xml:space="preserve"> the challenges of estimating the reliability of the Passive Isolation Condenser System </w:t>
            </w:r>
            <w:proofErr w:type="gramStart"/>
            <w:r w:rsidRPr="007B6616">
              <w:rPr>
                <w:rFonts w:ascii="Segoe UI" w:hAnsi="Segoe UI" w:cs="Segoe UI"/>
                <w:color w:val="000000"/>
                <w:sz w:val="24"/>
                <w:szCs w:val="24"/>
              </w:rPr>
              <w:t>in order to</w:t>
            </w:r>
            <w:proofErr w:type="gramEnd"/>
            <w:r w:rsidRPr="007B6616">
              <w:rPr>
                <w:rFonts w:ascii="Segoe UI" w:hAnsi="Segoe UI" w:cs="Segoe UI"/>
                <w:color w:val="000000"/>
                <w:sz w:val="24"/>
                <w:szCs w:val="24"/>
              </w:rPr>
              <w:t xml:space="preserve"> show how the BWRX-300 design will adhere to CNSC requirements.</w:t>
            </w:r>
          </w:p>
        </w:tc>
      </w:tr>
      <w:tr w:rsidR="0033503E" w:rsidRPr="007B6616" w14:paraId="13F5DB54" w14:textId="77777777" w:rsidTr="00C150DB">
        <w:tc>
          <w:tcPr>
            <w:tcW w:w="9350" w:type="dxa"/>
            <w:gridSpan w:val="2"/>
            <w:shd w:val="clear" w:color="auto" w:fill="D9D9D9" w:themeFill="background1" w:themeFillShade="D9"/>
          </w:tcPr>
          <w:p w14:paraId="60861C3B" w14:textId="28CA7701" w:rsidR="0033503E" w:rsidRPr="007B6616" w:rsidRDefault="0033503E" w:rsidP="00C54C0E">
            <w:pPr>
              <w:pStyle w:val="ListParagraph"/>
              <w:ind w:left="0"/>
              <w:rPr>
                <w:rFonts w:ascii="Segoe UI" w:hAnsi="Segoe UI" w:cs="Segoe UI"/>
                <w:b/>
                <w:bCs/>
                <w:sz w:val="24"/>
                <w:szCs w:val="24"/>
                <w:lang w:val="en-US"/>
              </w:rPr>
            </w:pPr>
            <w:r w:rsidRPr="007B6616">
              <w:rPr>
                <w:rFonts w:ascii="Segoe UI" w:hAnsi="Segoe UI" w:cs="Segoe UI"/>
                <w:b/>
                <w:bCs/>
                <w:sz w:val="24"/>
                <w:szCs w:val="24"/>
                <w:lang w:val="en-US"/>
              </w:rPr>
              <w:t>Licensing</w:t>
            </w:r>
          </w:p>
        </w:tc>
      </w:tr>
      <w:tr w:rsidR="00AE7DD4" w:rsidRPr="007B6616" w14:paraId="077F3F42" w14:textId="77777777" w:rsidTr="007B6616">
        <w:tc>
          <w:tcPr>
            <w:tcW w:w="2830" w:type="dxa"/>
          </w:tcPr>
          <w:p w14:paraId="70799561"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Environmental Assessment</w:t>
            </w:r>
          </w:p>
          <w:p w14:paraId="466D3413" w14:textId="77777777" w:rsidR="00AE7DD4" w:rsidRPr="007B6616" w:rsidRDefault="00AE7DD4" w:rsidP="00C54C0E">
            <w:pPr>
              <w:pStyle w:val="ListParagraph"/>
              <w:ind w:left="0"/>
              <w:rPr>
                <w:rFonts w:ascii="Segoe UI" w:hAnsi="Segoe UI" w:cs="Segoe UI"/>
                <w:sz w:val="24"/>
                <w:szCs w:val="24"/>
                <w:lang w:val="en-US"/>
              </w:rPr>
            </w:pPr>
          </w:p>
          <w:p w14:paraId="7957009E" w14:textId="77777777" w:rsidR="00AE7DD4" w:rsidRPr="007B6616" w:rsidRDefault="00AE7DD4" w:rsidP="00C54C0E">
            <w:pPr>
              <w:pStyle w:val="ListParagraph"/>
              <w:ind w:left="0"/>
              <w:rPr>
                <w:rFonts w:ascii="Segoe UI" w:hAnsi="Segoe UI" w:cs="Segoe UI"/>
                <w:sz w:val="24"/>
                <w:szCs w:val="24"/>
                <w:lang w:val="en-US"/>
              </w:rPr>
            </w:pPr>
          </w:p>
          <w:p w14:paraId="68A7A7CC" w14:textId="77777777" w:rsidR="00AE7DD4" w:rsidRPr="007B6616" w:rsidRDefault="00AE7DD4" w:rsidP="00C54C0E">
            <w:pPr>
              <w:pStyle w:val="ListParagraph"/>
              <w:ind w:left="0"/>
              <w:rPr>
                <w:rFonts w:ascii="Segoe UI" w:hAnsi="Segoe UI" w:cs="Segoe UI"/>
                <w:sz w:val="24"/>
                <w:szCs w:val="24"/>
                <w:lang w:val="en-US"/>
              </w:rPr>
            </w:pPr>
          </w:p>
          <w:p w14:paraId="7A4FB135" w14:textId="77777777" w:rsidR="00AE7DD4" w:rsidRPr="007B6616" w:rsidRDefault="00AE7DD4" w:rsidP="00C54C0E">
            <w:pPr>
              <w:pStyle w:val="ListParagraph"/>
              <w:ind w:left="0"/>
              <w:rPr>
                <w:rFonts w:ascii="Segoe UI" w:hAnsi="Segoe UI" w:cs="Segoe UI"/>
                <w:sz w:val="24"/>
                <w:szCs w:val="24"/>
                <w:lang w:val="en-US"/>
              </w:rPr>
            </w:pPr>
          </w:p>
          <w:p w14:paraId="7B9C4D4B" w14:textId="77777777" w:rsidR="00AE7DD4" w:rsidRPr="007B6616" w:rsidRDefault="00AE7DD4" w:rsidP="00C54C0E">
            <w:pPr>
              <w:pStyle w:val="ListParagraph"/>
              <w:ind w:left="0"/>
              <w:rPr>
                <w:rFonts w:ascii="Segoe UI" w:hAnsi="Segoe UI" w:cs="Segoe UI"/>
                <w:sz w:val="24"/>
                <w:szCs w:val="24"/>
                <w:lang w:val="en-US"/>
              </w:rPr>
            </w:pPr>
          </w:p>
          <w:p w14:paraId="484F35AD" w14:textId="1E4B9F63"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Licensing</w:t>
            </w:r>
          </w:p>
        </w:tc>
        <w:tc>
          <w:tcPr>
            <w:tcW w:w="6520" w:type="dxa"/>
          </w:tcPr>
          <w:p w14:paraId="386C0C1C" w14:textId="77777777" w:rsidR="00AE7DD4" w:rsidRPr="007B6616" w:rsidRDefault="00AE7DD4" w:rsidP="00856D3F">
            <w:pPr>
              <w:pStyle w:val="ListParagraph"/>
              <w:numPr>
                <w:ilvl w:val="0"/>
                <w:numId w:val="27"/>
              </w:numPr>
              <w:rPr>
                <w:rFonts w:ascii="Segoe UI" w:hAnsi="Segoe UI" w:cs="Segoe UI"/>
                <w:color w:val="000000"/>
                <w:sz w:val="24"/>
                <w:szCs w:val="24"/>
              </w:rPr>
            </w:pPr>
            <w:r w:rsidRPr="007B6616">
              <w:rPr>
                <w:rFonts w:ascii="Segoe UI" w:hAnsi="Segoe UI" w:cs="Segoe UI"/>
                <w:color w:val="000000"/>
                <w:sz w:val="24"/>
                <w:szCs w:val="24"/>
              </w:rPr>
              <w:t>In keeping with the CNSC regulatory practice as outlined in PPE-2, OPG should be required to prepare a new environmental impact statement with high level design information about the BWRX-300.</w:t>
            </w:r>
          </w:p>
          <w:p w14:paraId="04B43887" w14:textId="118888AC" w:rsidR="00AE7DD4" w:rsidRPr="007B6616" w:rsidRDefault="00AE7DD4" w:rsidP="00856D3F">
            <w:pPr>
              <w:pStyle w:val="ListParagraph"/>
              <w:numPr>
                <w:ilvl w:val="0"/>
                <w:numId w:val="27"/>
              </w:numPr>
              <w:rPr>
                <w:rFonts w:ascii="Segoe UI" w:hAnsi="Segoe UI" w:cs="Segoe UI"/>
                <w:color w:val="000000"/>
                <w:sz w:val="24"/>
                <w:szCs w:val="24"/>
              </w:rPr>
            </w:pPr>
            <w:r w:rsidRPr="007B6616">
              <w:rPr>
                <w:rFonts w:ascii="Segoe UI" w:hAnsi="Segoe UI" w:cs="Segoe UI"/>
                <w:color w:val="000000"/>
                <w:sz w:val="24"/>
                <w:szCs w:val="24"/>
              </w:rPr>
              <w:t xml:space="preserve">CNSC shall ensure that </w:t>
            </w:r>
            <w:r w:rsidR="007B6616" w:rsidRPr="007B6616">
              <w:rPr>
                <w:rFonts w:ascii="Segoe UI" w:hAnsi="Segoe UI" w:cs="Segoe UI"/>
                <w:color w:val="000000"/>
                <w:sz w:val="24"/>
                <w:szCs w:val="24"/>
              </w:rPr>
              <w:t>all</w:t>
            </w:r>
            <w:r w:rsidRPr="007B6616">
              <w:rPr>
                <w:rFonts w:ascii="Segoe UI" w:hAnsi="Segoe UI" w:cs="Segoe UI"/>
                <w:color w:val="000000"/>
                <w:sz w:val="24"/>
                <w:szCs w:val="24"/>
              </w:rPr>
              <w:t xml:space="preserve"> the conditions laid down by the JRP are fully implemented before a construction licence is considered. </w:t>
            </w:r>
          </w:p>
          <w:p w14:paraId="21CB18B3" w14:textId="3DEFE675" w:rsidR="00AE7DD4" w:rsidRPr="007B6616" w:rsidRDefault="00AE7DD4" w:rsidP="00856D3F">
            <w:pPr>
              <w:pStyle w:val="ListParagraph"/>
              <w:numPr>
                <w:ilvl w:val="0"/>
                <w:numId w:val="27"/>
              </w:numPr>
              <w:rPr>
                <w:rFonts w:ascii="Segoe UI" w:hAnsi="Segoe UI" w:cs="Segoe UI"/>
                <w:b/>
                <w:bCs/>
                <w:sz w:val="24"/>
                <w:szCs w:val="24"/>
              </w:rPr>
            </w:pPr>
            <w:r w:rsidRPr="007B6616">
              <w:rPr>
                <w:rFonts w:ascii="Segoe UI" w:hAnsi="Segoe UI" w:cs="Segoe UI"/>
                <w:color w:val="000000"/>
                <w:sz w:val="24"/>
                <w:szCs w:val="24"/>
              </w:rPr>
              <w:t>CNSC shall require OPG to publish, in tabular form, all measures taken to implement each applicable JRP condition and sub</w:t>
            </w:r>
            <w:r w:rsidR="007B6616">
              <w:rPr>
                <w:rFonts w:ascii="Segoe UI" w:hAnsi="Segoe UI" w:cs="Segoe UI"/>
                <w:color w:val="000000"/>
                <w:sz w:val="24"/>
                <w:szCs w:val="24"/>
              </w:rPr>
              <w:t>-</w:t>
            </w:r>
            <w:r w:rsidRPr="007B6616">
              <w:rPr>
                <w:rFonts w:ascii="Segoe UI" w:hAnsi="Segoe UI" w:cs="Segoe UI"/>
                <w:color w:val="000000"/>
                <w:sz w:val="24"/>
                <w:szCs w:val="24"/>
              </w:rPr>
              <w:t>condition, with links to appropriate documents detailing how the implementation was carried out. CNSC staff shall certify that the implementations have been satisfactorily realized or that they must be redone</w:t>
            </w:r>
          </w:p>
        </w:tc>
      </w:tr>
      <w:tr w:rsidR="00AE7DD4" w:rsidRPr="007B6616" w14:paraId="5C44A6B4" w14:textId="77777777" w:rsidTr="007B6616">
        <w:tc>
          <w:tcPr>
            <w:tcW w:w="2830" w:type="dxa"/>
          </w:tcPr>
          <w:p w14:paraId="47E83FB7"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Land-use Planning</w:t>
            </w:r>
          </w:p>
          <w:p w14:paraId="5E855146" w14:textId="77777777" w:rsidR="00AE7DD4" w:rsidRPr="007B6616" w:rsidRDefault="00AE7DD4" w:rsidP="00C54C0E">
            <w:pPr>
              <w:pStyle w:val="ListParagraph"/>
              <w:ind w:left="0"/>
              <w:rPr>
                <w:rFonts w:ascii="Segoe UI" w:hAnsi="Segoe UI" w:cs="Segoe UI"/>
                <w:sz w:val="24"/>
                <w:szCs w:val="24"/>
                <w:lang w:val="en-US"/>
              </w:rPr>
            </w:pPr>
          </w:p>
          <w:p w14:paraId="7BB05FD7" w14:textId="77777777" w:rsidR="00AE7DD4" w:rsidRPr="007B6616" w:rsidRDefault="00AE7DD4" w:rsidP="00C54C0E">
            <w:pPr>
              <w:pStyle w:val="ListParagraph"/>
              <w:ind w:left="0"/>
              <w:rPr>
                <w:rFonts w:ascii="Segoe UI" w:hAnsi="Segoe UI" w:cs="Segoe UI"/>
                <w:sz w:val="24"/>
                <w:szCs w:val="24"/>
                <w:lang w:val="en-US"/>
              </w:rPr>
            </w:pPr>
          </w:p>
          <w:p w14:paraId="62F57428" w14:textId="77777777" w:rsidR="00AE7DD4" w:rsidRPr="007B6616" w:rsidRDefault="00AE7DD4" w:rsidP="00C54C0E">
            <w:pPr>
              <w:pStyle w:val="ListParagraph"/>
              <w:ind w:left="0"/>
              <w:rPr>
                <w:rFonts w:ascii="Segoe UI" w:hAnsi="Segoe UI" w:cs="Segoe UI"/>
                <w:sz w:val="24"/>
                <w:szCs w:val="24"/>
                <w:lang w:val="en-US"/>
              </w:rPr>
            </w:pPr>
          </w:p>
          <w:p w14:paraId="32797905" w14:textId="77777777" w:rsidR="00AE7DD4" w:rsidRPr="007B6616" w:rsidRDefault="00AE7DD4" w:rsidP="00C54C0E">
            <w:pPr>
              <w:pStyle w:val="ListParagraph"/>
              <w:ind w:left="0"/>
              <w:rPr>
                <w:rFonts w:ascii="Segoe UI" w:hAnsi="Segoe UI" w:cs="Segoe UI"/>
                <w:sz w:val="24"/>
                <w:szCs w:val="24"/>
                <w:lang w:val="en-US"/>
              </w:rPr>
            </w:pPr>
          </w:p>
          <w:p w14:paraId="0AA41328" w14:textId="77777777" w:rsidR="00AE7DD4" w:rsidRPr="007B6616" w:rsidRDefault="00AE7DD4" w:rsidP="00C54C0E">
            <w:pPr>
              <w:pStyle w:val="ListParagraph"/>
              <w:ind w:left="0"/>
              <w:rPr>
                <w:rFonts w:ascii="Segoe UI" w:hAnsi="Segoe UI" w:cs="Segoe UI"/>
                <w:sz w:val="24"/>
                <w:szCs w:val="24"/>
                <w:lang w:val="en-US"/>
              </w:rPr>
            </w:pPr>
          </w:p>
          <w:p w14:paraId="5F68C70E" w14:textId="77777777" w:rsidR="00AE7DD4" w:rsidRPr="007B6616" w:rsidRDefault="00AE7DD4" w:rsidP="00C54C0E">
            <w:pPr>
              <w:pStyle w:val="ListParagraph"/>
              <w:ind w:left="0"/>
              <w:rPr>
                <w:rFonts w:ascii="Segoe UI" w:hAnsi="Segoe UI" w:cs="Segoe UI"/>
                <w:sz w:val="24"/>
                <w:szCs w:val="24"/>
                <w:lang w:val="en-US"/>
              </w:rPr>
            </w:pPr>
          </w:p>
          <w:p w14:paraId="668B29D1" w14:textId="77777777" w:rsidR="00AE7DD4" w:rsidRPr="007B6616" w:rsidRDefault="00AE7DD4" w:rsidP="00C54C0E">
            <w:pPr>
              <w:pStyle w:val="ListParagraph"/>
              <w:ind w:left="0"/>
              <w:rPr>
                <w:rFonts w:ascii="Segoe UI" w:hAnsi="Segoe UI" w:cs="Segoe UI"/>
                <w:sz w:val="24"/>
                <w:szCs w:val="24"/>
                <w:lang w:val="en-US"/>
              </w:rPr>
            </w:pPr>
          </w:p>
          <w:p w14:paraId="637E5A13" w14:textId="77777777" w:rsidR="00AE7DD4" w:rsidRPr="007B6616" w:rsidRDefault="00AE7DD4" w:rsidP="00C54C0E">
            <w:pPr>
              <w:pStyle w:val="ListParagraph"/>
              <w:ind w:left="0"/>
              <w:rPr>
                <w:rFonts w:ascii="Segoe UI" w:hAnsi="Segoe UI" w:cs="Segoe UI"/>
                <w:sz w:val="24"/>
                <w:szCs w:val="24"/>
                <w:lang w:val="en-US"/>
              </w:rPr>
            </w:pPr>
          </w:p>
          <w:p w14:paraId="5550AC42" w14:textId="77777777" w:rsidR="00AE7DD4" w:rsidRPr="007B6616" w:rsidRDefault="00AE7DD4" w:rsidP="00C54C0E">
            <w:pPr>
              <w:pStyle w:val="ListParagraph"/>
              <w:ind w:left="0"/>
              <w:rPr>
                <w:rFonts w:ascii="Segoe UI" w:hAnsi="Segoe UI" w:cs="Segoe UI"/>
                <w:sz w:val="24"/>
                <w:szCs w:val="24"/>
                <w:lang w:val="en-US"/>
              </w:rPr>
            </w:pPr>
          </w:p>
          <w:p w14:paraId="3259DDDB" w14:textId="77777777" w:rsidR="00AE7DD4" w:rsidRPr="007B6616" w:rsidRDefault="00AE7DD4" w:rsidP="00C54C0E">
            <w:pPr>
              <w:pStyle w:val="ListParagraph"/>
              <w:ind w:left="0"/>
              <w:rPr>
                <w:rFonts w:ascii="Segoe UI" w:hAnsi="Segoe UI" w:cs="Segoe UI"/>
                <w:sz w:val="24"/>
                <w:szCs w:val="24"/>
                <w:lang w:val="en-US"/>
              </w:rPr>
            </w:pPr>
          </w:p>
          <w:p w14:paraId="03A1F7B1" w14:textId="77777777" w:rsidR="00AE7DD4" w:rsidRPr="007B6616" w:rsidRDefault="00AE7DD4" w:rsidP="00C54C0E">
            <w:pPr>
              <w:pStyle w:val="ListParagraph"/>
              <w:ind w:left="0"/>
              <w:rPr>
                <w:rFonts w:ascii="Segoe UI" w:hAnsi="Segoe UI" w:cs="Segoe UI"/>
                <w:sz w:val="24"/>
                <w:szCs w:val="24"/>
                <w:lang w:val="en-US"/>
              </w:rPr>
            </w:pPr>
          </w:p>
          <w:p w14:paraId="7FCB3A74" w14:textId="77777777" w:rsidR="00AE7DD4" w:rsidRPr="007B6616" w:rsidRDefault="00AE7DD4" w:rsidP="00C54C0E">
            <w:pPr>
              <w:pStyle w:val="ListParagraph"/>
              <w:ind w:left="0"/>
              <w:rPr>
                <w:rFonts w:ascii="Segoe UI" w:hAnsi="Segoe UI" w:cs="Segoe UI"/>
                <w:sz w:val="24"/>
                <w:szCs w:val="24"/>
                <w:lang w:val="en-US"/>
              </w:rPr>
            </w:pPr>
          </w:p>
          <w:p w14:paraId="20178E70" w14:textId="77777777" w:rsidR="00AE7DD4" w:rsidRPr="007B6616" w:rsidRDefault="00AE7DD4" w:rsidP="00C54C0E">
            <w:pPr>
              <w:pStyle w:val="ListParagraph"/>
              <w:ind w:left="0"/>
              <w:rPr>
                <w:rFonts w:ascii="Segoe UI" w:hAnsi="Segoe UI" w:cs="Segoe UI"/>
                <w:sz w:val="24"/>
                <w:szCs w:val="24"/>
                <w:lang w:val="en-US"/>
              </w:rPr>
            </w:pPr>
          </w:p>
          <w:p w14:paraId="62510FB5" w14:textId="77777777" w:rsidR="00AE7DD4" w:rsidRPr="007B6616" w:rsidRDefault="00AE7DD4" w:rsidP="00C54C0E">
            <w:pPr>
              <w:pStyle w:val="ListParagraph"/>
              <w:ind w:left="0"/>
              <w:rPr>
                <w:rFonts w:ascii="Segoe UI" w:hAnsi="Segoe UI" w:cs="Segoe UI"/>
                <w:sz w:val="24"/>
                <w:szCs w:val="24"/>
                <w:lang w:val="en-US"/>
              </w:rPr>
            </w:pPr>
          </w:p>
          <w:p w14:paraId="23062D01" w14:textId="77777777" w:rsidR="00AE7DD4" w:rsidRPr="007B6616" w:rsidRDefault="00AE7DD4" w:rsidP="00C54C0E">
            <w:pPr>
              <w:pStyle w:val="ListParagraph"/>
              <w:ind w:left="0"/>
              <w:rPr>
                <w:rFonts w:ascii="Segoe UI" w:hAnsi="Segoe UI" w:cs="Segoe UI"/>
                <w:sz w:val="24"/>
                <w:szCs w:val="24"/>
                <w:lang w:val="en-US"/>
              </w:rPr>
            </w:pPr>
          </w:p>
          <w:p w14:paraId="7BA136EF" w14:textId="77777777" w:rsidR="00AE7DD4" w:rsidRPr="007B6616" w:rsidRDefault="00AE7DD4" w:rsidP="00C54C0E">
            <w:pPr>
              <w:pStyle w:val="ListParagraph"/>
              <w:ind w:left="0"/>
              <w:rPr>
                <w:rFonts w:ascii="Segoe UI" w:hAnsi="Segoe UI" w:cs="Segoe UI"/>
                <w:sz w:val="24"/>
                <w:szCs w:val="24"/>
                <w:lang w:val="en-US"/>
              </w:rPr>
            </w:pPr>
          </w:p>
          <w:p w14:paraId="1B720F05" w14:textId="77777777" w:rsidR="00AE7DD4" w:rsidRPr="007B6616" w:rsidRDefault="00AE7DD4" w:rsidP="00C54C0E">
            <w:pPr>
              <w:pStyle w:val="ListParagraph"/>
              <w:ind w:left="0"/>
              <w:rPr>
                <w:rFonts w:ascii="Segoe UI" w:hAnsi="Segoe UI" w:cs="Segoe UI"/>
                <w:sz w:val="24"/>
                <w:szCs w:val="24"/>
                <w:lang w:val="en-US"/>
              </w:rPr>
            </w:pPr>
          </w:p>
          <w:p w14:paraId="619F120E" w14:textId="77777777" w:rsidR="00AE7DD4" w:rsidRPr="007B6616" w:rsidRDefault="00AE7DD4" w:rsidP="00C54C0E">
            <w:pPr>
              <w:pStyle w:val="ListParagraph"/>
              <w:ind w:left="0"/>
              <w:rPr>
                <w:rFonts w:ascii="Segoe UI" w:hAnsi="Segoe UI" w:cs="Segoe UI"/>
                <w:sz w:val="24"/>
                <w:szCs w:val="24"/>
                <w:lang w:val="en-US"/>
              </w:rPr>
            </w:pPr>
          </w:p>
          <w:p w14:paraId="2B85BB1A" w14:textId="77777777" w:rsidR="00AE7DD4" w:rsidRPr="007B6616" w:rsidRDefault="00AE7DD4" w:rsidP="00C54C0E">
            <w:pPr>
              <w:pStyle w:val="ListParagraph"/>
              <w:ind w:left="0"/>
              <w:rPr>
                <w:rFonts w:ascii="Segoe UI" w:hAnsi="Segoe UI" w:cs="Segoe UI"/>
                <w:sz w:val="24"/>
                <w:szCs w:val="24"/>
                <w:lang w:val="en-US"/>
              </w:rPr>
            </w:pPr>
          </w:p>
          <w:p w14:paraId="56C72D03" w14:textId="77777777" w:rsidR="00AE7DD4" w:rsidRPr="007B6616" w:rsidRDefault="00AE7DD4" w:rsidP="00C54C0E">
            <w:pPr>
              <w:pStyle w:val="ListParagraph"/>
              <w:ind w:left="0"/>
              <w:rPr>
                <w:rFonts w:ascii="Segoe UI" w:hAnsi="Segoe UI" w:cs="Segoe UI"/>
                <w:sz w:val="24"/>
                <w:szCs w:val="24"/>
                <w:lang w:val="en-US"/>
              </w:rPr>
            </w:pPr>
          </w:p>
          <w:p w14:paraId="2B893A62" w14:textId="77777777" w:rsidR="00AE7DD4" w:rsidRPr="007B6616" w:rsidRDefault="00AE7DD4" w:rsidP="00C54C0E">
            <w:pPr>
              <w:pStyle w:val="ListParagraph"/>
              <w:ind w:left="0"/>
              <w:rPr>
                <w:rFonts w:ascii="Segoe UI" w:hAnsi="Segoe UI" w:cs="Segoe UI"/>
                <w:sz w:val="24"/>
                <w:szCs w:val="24"/>
                <w:lang w:val="en-US"/>
              </w:rPr>
            </w:pPr>
          </w:p>
          <w:p w14:paraId="4BA3D6A6" w14:textId="77777777" w:rsidR="00AE7DD4" w:rsidRPr="007B6616" w:rsidRDefault="00AE7DD4" w:rsidP="00C54C0E">
            <w:pPr>
              <w:pStyle w:val="ListParagraph"/>
              <w:ind w:left="0"/>
              <w:rPr>
                <w:rFonts w:ascii="Segoe UI" w:hAnsi="Segoe UI" w:cs="Segoe UI"/>
                <w:sz w:val="24"/>
                <w:szCs w:val="24"/>
                <w:lang w:val="en-US"/>
              </w:rPr>
            </w:pPr>
          </w:p>
          <w:p w14:paraId="1FE10011" w14:textId="38A6AF6F"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Licensing</w:t>
            </w:r>
          </w:p>
        </w:tc>
        <w:tc>
          <w:tcPr>
            <w:tcW w:w="6520" w:type="dxa"/>
          </w:tcPr>
          <w:p w14:paraId="2858FEB5" w14:textId="77777777" w:rsidR="00AE7DD4" w:rsidRPr="007B6616" w:rsidRDefault="00AE7DD4" w:rsidP="00856D3F">
            <w:pPr>
              <w:pStyle w:val="ListParagraph"/>
              <w:numPr>
                <w:ilvl w:val="0"/>
                <w:numId w:val="28"/>
              </w:numPr>
              <w:rPr>
                <w:rFonts w:ascii="Segoe UI" w:hAnsi="Segoe UI" w:cs="Segoe UI"/>
                <w:color w:val="000000"/>
                <w:sz w:val="24"/>
                <w:szCs w:val="24"/>
              </w:rPr>
            </w:pPr>
            <w:r w:rsidRPr="007B6616">
              <w:rPr>
                <w:rFonts w:ascii="Segoe UI" w:hAnsi="Segoe UI" w:cs="Segoe UI"/>
                <w:color w:val="000000"/>
                <w:sz w:val="24"/>
                <w:szCs w:val="24"/>
              </w:rPr>
              <w:t>The CNSC should direct CNSC staff to review the current and planned provincial land use directions under the Places to Grow Act and other indications of provincial intent to continue increasing density in this area; to ensure land use compatibility in the vicinity of major facilities, which includes energy generation facilities. Specific regard should be given to population density and growth around nuclear generating stations and impacts of new and additional nuclear on the implementation of emergency measures.</w:t>
            </w:r>
          </w:p>
          <w:p w14:paraId="4DAF449F" w14:textId="045E69DD" w:rsidR="00AE7DD4" w:rsidRPr="007B6616" w:rsidRDefault="00AE7DD4" w:rsidP="00856D3F">
            <w:pPr>
              <w:pStyle w:val="ListParagraph"/>
              <w:numPr>
                <w:ilvl w:val="0"/>
                <w:numId w:val="28"/>
              </w:numPr>
              <w:rPr>
                <w:rFonts w:ascii="Segoe UI" w:hAnsi="Segoe UI" w:cs="Segoe UI"/>
                <w:color w:val="000000"/>
                <w:sz w:val="24"/>
                <w:szCs w:val="24"/>
              </w:rPr>
            </w:pPr>
            <w:r w:rsidRPr="007B6616">
              <w:rPr>
                <w:rFonts w:ascii="Segoe UI" w:hAnsi="Segoe UI" w:cs="Segoe UI"/>
                <w:color w:val="000000"/>
                <w:sz w:val="24"/>
                <w:szCs w:val="24"/>
              </w:rPr>
              <w:t xml:space="preserve">With recent legislative changes in Ontario </w:t>
            </w:r>
            <w:r w:rsidR="007B6616" w:rsidRPr="007B6616">
              <w:rPr>
                <w:rFonts w:ascii="Segoe UI" w:hAnsi="Segoe UI" w:cs="Segoe UI"/>
                <w:color w:val="000000"/>
                <w:sz w:val="24"/>
                <w:szCs w:val="24"/>
              </w:rPr>
              <w:t>opening</w:t>
            </w:r>
            <w:r w:rsidRPr="007B6616">
              <w:rPr>
                <w:rFonts w:ascii="Segoe UI" w:hAnsi="Segoe UI" w:cs="Segoe UI"/>
                <w:color w:val="000000"/>
                <w:sz w:val="24"/>
                <w:szCs w:val="24"/>
              </w:rPr>
              <w:t xml:space="preserve"> sections of the Greenbelt to development, the CNSC should require OPG to address how unplanned density growth within Durham Region is considered for emergency planning for the DNNP </w:t>
            </w:r>
            <w:r w:rsidR="009D7B56" w:rsidRPr="007B6616">
              <w:rPr>
                <w:rFonts w:ascii="Segoe UI" w:hAnsi="Segoe UI" w:cs="Segoe UI"/>
                <w:color w:val="000000"/>
                <w:sz w:val="24"/>
                <w:szCs w:val="24"/>
              </w:rPr>
              <w:t>site.</w:t>
            </w:r>
          </w:p>
          <w:p w14:paraId="15CC5E26" w14:textId="5F6FEADC" w:rsidR="00AE7DD4" w:rsidRPr="007B6616" w:rsidRDefault="00AE7DD4" w:rsidP="00856D3F">
            <w:pPr>
              <w:pStyle w:val="ListParagraph"/>
              <w:numPr>
                <w:ilvl w:val="0"/>
                <w:numId w:val="28"/>
              </w:numPr>
              <w:rPr>
                <w:rFonts w:ascii="Segoe UI" w:hAnsi="Segoe UI" w:cs="Segoe UI"/>
                <w:b/>
                <w:bCs/>
                <w:sz w:val="24"/>
                <w:szCs w:val="24"/>
              </w:rPr>
            </w:pPr>
            <w:r w:rsidRPr="007B6616">
              <w:rPr>
                <w:rFonts w:ascii="Segoe UI" w:hAnsi="Segoe UI" w:cs="Segoe UI"/>
                <w:color w:val="000000"/>
                <w:sz w:val="24"/>
                <w:szCs w:val="24"/>
              </w:rPr>
              <w:t xml:space="preserve">The CNSC must exercise its jurisdiction and fulfill the federal constitutional jurisdiction over nuclear site approval. Any siting decision must ensure the protection of the public and environment for the intended lifespan of the new nuclear development. This decision must also account for changes in land use, population density, </w:t>
            </w:r>
            <w:r w:rsidR="007B6616" w:rsidRPr="007B6616">
              <w:rPr>
                <w:rFonts w:ascii="Segoe UI" w:hAnsi="Segoe UI" w:cs="Segoe UI"/>
                <w:color w:val="000000"/>
                <w:sz w:val="24"/>
                <w:szCs w:val="24"/>
              </w:rPr>
              <w:t>climate,</w:t>
            </w:r>
            <w:r w:rsidRPr="007B6616">
              <w:rPr>
                <w:rFonts w:ascii="Segoe UI" w:hAnsi="Segoe UI" w:cs="Segoe UI"/>
                <w:color w:val="000000"/>
                <w:sz w:val="24"/>
                <w:szCs w:val="24"/>
              </w:rPr>
              <w:t xml:space="preserve"> and environmental factors. No amount of subsequent regulatory action short of license termination can adequately protect the public if an unsuitable site is selected.</w:t>
            </w:r>
          </w:p>
        </w:tc>
      </w:tr>
      <w:tr w:rsidR="00AE7DD4" w:rsidRPr="007B6616" w14:paraId="4F47E588" w14:textId="77777777" w:rsidTr="007B6616">
        <w:tc>
          <w:tcPr>
            <w:tcW w:w="2830" w:type="dxa"/>
          </w:tcPr>
          <w:p w14:paraId="52041D15" w14:textId="77777777"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Environmental Assessment</w:t>
            </w:r>
          </w:p>
          <w:p w14:paraId="621E6D3F" w14:textId="77777777" w:rsidR="00AE7DD4" w:rsidRPr="007B6616" w:rsidRDefault="00AE7DD4" w:rsidP="00C54C0E">
            <w:pPr>
              <w:pStyle w:val="ListParagraph"/>
              <w:ind w:left="0"/>
              <w:rPr>
                <w:rFonts w:ascii="Segoe UI" w:hAnsi="Segoe UI" w:cs="Segoe UI"/>
                <w:sz w:val="24"/>
                <w:szCs w:val="24"/>
                <w:lang w:val="en-US"/>
              </w:rPr>
            </w:pPr>
          </w:p>
          <w:p w14:paraId="167D2985" w14:textId="77777777" w:rsidR="00AE7DD4" w:rsidRPr="007B6616" w:rsidRDefault="00AE7DD4" w:rsidP="00C54C0E">
            <w:pPr>
              <w:pStyle w:val="ListParagraph"/>
              <w:ind w:left="0"/>
              <w:rPr>
                <w:rFonts w:ascii="Segoe UI" w:hAnsi="Segoe UI" w:cs="Segoe UI"/>
                <w:sz w:val="24"/>
                <w:szCs w:val="24"/>
                <w:lang w:val="en-US"/>
              </w:rPr>
            </w:pPr>
          </w:p>
          <w:p w14:paraId="78839CBA" w14:textId="77777777" w:rsidR="00AE7DD4" w:rsidRPr="007B6616" w:rsidRDefault="00AE7DD4" w:rsidP="00C54C0E">
            <w:pPr>
              <w:pStyle w:val="ListParagraph"/>
              <w:ind w:left="0"/>
              <w:rPr>
                <w:rFonts w:ascii="Segoe UI" w:hAnsi="Segoe UI" w:cs="Segoe UI"/>
                <w:sz w:val="24"/>
                <w:szCs w:val="24"/>
                <w:lang w:val="en-US"/>
              </w:rPr>
            </w:pPr>
          </w:p>
          <w:p w14:paraId="38D28EEA" w14:textId="77777777" w:rsidR="00AE7DD4" w:rsidRPr="007B6616" w:rsidRDefault="00AE7DD4" w:rsidP="00C54C0E">
            <w:pPr>
              <w:pStyle w:val="ListParagraph"/>
              <w:ind w:left="0"/>
              <w:rPr>
                <w:rFonts w:ascii="Segoe UI" w:hAnsi="Segoe UI" w:cs="Segoe UI"/>
                <w:sz w:val="24"/>
                <w:szCs w:val="24"/>
                <w:lang w:val="en-US"/>
              </w:rPr>
            </w:pPr>
          </w:p>
          <w:p w14:paraId="19A9DFD1" w14:textId="77777777" w:rsidR="00AE7DD4" w:rsidRPr="007B6616" w:rsidRDefault="00AE7DD4" w:rsidP="00C54C0E">
            <w:pPr>
              <w:pStyle w:val="ListParagraph"/>
              <w:ind w:left="0"/>
              <w:rPr>
                <w:rFonts w:ascii="Segoe UI" w:hAnsi="Segoe UI" w:cs="Segoe UI"/>
                <w:sz w:val="24"/>
                <w:szCs w:val="24"/>
                <w:lang w:val="en-US"/>
              </w:rPr>
            </w:pPr>
          </w:p>
          <w:p w14:paraId="7802C4BD" w14:textId="77777777" w:rsidR="00AE7DD4" w:rsidRPr="007B6616" w:rsidRDefault="00AE7DD4" w:rsidP="00C54C0E">
            <w:pPr>
              <w:pStyle w:val="ListParagraph"/>
              <w:ind w:left="0"/>
              <w:rPr>
                <w:rFonts w:ascii="Segoe UI" w:hAnsi="Segoe UI" w:cs="Segoe UI"/>
                <w:sz w:val="24"/>
                <w:szCs w:val="24"/>
                <w:lang w:val="en-US"/>
              </w:rPr>
            </w:pPr>
          </w:p>
          <w:p w14:paraId="1A1346F8" w14:textId="77777777" w:rsidR="00AE7DD4" w:rsidRPr="007B6616" w:rsidRDefault="00AE7DD4" w:rsidP="00C54C0E">
            <w:pPr>
              <w:pStyle w:val="ListParagraph"/>
              <w:ind w:left="0"/>
              <w:rPr>
                <w:rFonts w:ascii="Segoe UI" w:hAnsi="Segoe UI" w:cs="Segoe UI"/>
                <w:sz w:val="24"/>
                <w:szCs w:val="24"/>
                <w:lang w:val="en-US"/>
              </w:rPr>
            </w:pPr>
          </w:p>
          <w:p w14:paraId="5084D5B8" w14:textId="77777777" w:rsidR="00AE7DD4" w:rsidRPr="007B6616" w:rsidRDefault="00AE7DD4" w:rsidP="00C54C0E">
            <w:pPr>
              <w:pStyle w:val="ListParagraph"/>
              <w:ind w:left="0"/>
              <w:rPr>
                <w:rFonts w:ascii="Segoe UI" w:hAnsi="Segoe UI" w:cs="Segoe UI"/>
                <w:sz w:val="24"/>
                <w:szCs w:val="24"/>
                <w:lang w:val="en-US"/>
              </w:rPr>
            </w:pPr>
          </w:p>
          <w:p w14:paraId="2F41EF0A" w14:textId="77777777" w:rsidR="00AE7DD4" w:rsidRPr="007B6616" w:rsidRDefault="00AE7DD4" w:rsidP="00C54C0E">
            <w:pPr>
              <w:pStyle w:val="ListParagraph"/>
              <w:ind w:left="0"/>
              <w:rPr>
                <w:rFonts w:ascii="Segoe UI" w:hAnsi="Segoe UI" w:cs="Segoe UI"/>
                <w:sz w:val="24"/>
                <w:szCs w:val="24"/>
                <w:lang w:val="en-US"/>
              </w:rPr>
            </w:pPr>
          </w:p>
          <w:p w14:paraId="26255946" w14:textId="77777777" w:rsidR="00AE7DD4" w:rsidRPr="007B6616" w:rsidRDefault="00AE7DD4" w:rsidP="00C54C0E">
            <w:pPr>
              <w:pStyle w:val="ListParagraph"/>
              <w:ind w:left="0"/>
              <w:rPr>
                <w:rFonts w:ascii="Segoe UI" w:hAnsi="Segoe UI" w:cs="Segoe UI"/>
                <w:sz w:val="24"/>
                <w:szCs w:val="24"/>
                <w:lang w:val="en-US"/>
              </w:rPr>
            </w:pPr>
          </w:p>
          <w:p w14:paraId="5416C0AC" w14:textId="77777777" w:rsidR="00AE7DD4" w:rsidRPr="007B6616" w:rsidRDefault="00AE7DD4" w:rsidP="00C54C0E">
            <w:pPr>
              <w:pStyle w:val="ListParagraph"/>
              <w:ind w:left="0"/>
              <w:rPr>
                <w:rFonts w:ascii="Segoe UI" w:hAnsi="Segoe UI" w:cs="Segoe UI"/>
                <w:sz w:val="24"/>
                <w:szCs w:val="24"/>
                <w:lang w:val="en-US"/>
              </w:rPr>
            </w:pPr>
          </w:p>
          <w:p w14:paraId="5DDD7463" w14:textId="0AEEB848"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Licensing</w:t>
            </w:r>
          </w:p>
        </w:tc>
        <w:tc>
          <w:tcPr>
            <w:tcW w:w="6520" w:type="dxa"/>
          </w:tcPr>
          <w:p w14:paraId="1A7AC845" w14:textId="7675E9B9" w:rsidR="00AE7DD4" w:rsidRPr="007B6616" w:rsidRDefault="00AE7DD4" w:rsidP="00856D3F">
            <w:pPr>
              <w:pStyle w:val="ListParagraph"/>
              <w:numPr>
                <w:ilvl w:val="0"/>
                <w:numId w:val="29"/>
              </w:numPr>
              <w:rPr>
                <w:rFonts w:ascii="Segoe UI" w:hAnsi="Segoe UI" w:cs="Segoe UI"/>
                <w:color w:val="000000"/>
                <w:sz w:val="24"/>
                <w:szCs w:val="24"/>
              </w:rPr>
            </w:pPr>
            <w:r w:rsidRPr="007B6616">
              <w:rPr>
                <w:rFonts w:ascii="Segoe UI" w:hAnsi="Segoe UI" w:cs="Segoe UI"/>
                <w:color w:val="000000"/>
                <w:sz w:val="24"/>
                <w:szCs w:val="24"/>
              </w:rPr>
              <w:t>As mentioned, the selected BWRXT reactor was not one of the reactors considered in the original EIS or PPE. Although OPG states that the BWRXT reactor is not fundamentally different than those previously considered, this will be North America’s first SMR. Does this not justify a new EA to ensure the technology fully conforms with the current environmental conditions and parameters?</w:t>
            </w:r>
          </w:p>
          <w:p w14:paraId="0F91D483" w14:textId="77777777" w:rsidR="00AE7DD4" w:rsidRPr="007B6616" w:rsidRDefault="00AE7DD4" w:rsidP="00856D3F">
            <w:pPr>
              <w:pStyle w:val="ListParagraph"/>
              <w:numPr>
                <w:ilvl w:val="0"/>
                <w:numId w:val="29"/>
              </w:numPr>
              <w:rPr>
                <w:rFonts w:ascii="Segoe UI" w:hAnsi="Segoe UI" w:cs="Segoe UI"/>
                <w:color w:val="000000"/>
                <w:sz w:val="24"/>
                <w:szCs w:val="24"/>
              </w:rPr>
            </w:pPr>
            <w:r w:rsidRPr="007B6616">
              <w:rPr>
                <w:rFonts w:ascii="Segoe UI" w:hAnsi="Segoe UI" w:cs="Segoe UI"/>
                <w:color w:val="000000"/>
                <w:sz w:val="24"/>
                <w:szCs w:val="24"/>
              </w:rPr>
              <w:t>To clarify, the Government of Canada delegated this determination to the CNSC? What dictates what is "fundamentally different" between SMR technologies, and how did the CNSC come to this decision?</w:t>
            </w:r>
          </w:p>
          <w:p w14:paraId="13C6DE39" w14:textId="484FC812" w:rsidR="00AE7DD4" w:rsidRPr="007B6616" w:rsidRDefault="00AE7DD4" w:rsidP="00856D3F">
            <w:pPr>
              <w:pStyle w:val="ListParagraph"/>
              <w:numPr>
                <w:ilvl w:val="0"/>
                <w:numId w:val="29"/>
              </w:numPr>
              <w:rPr>
                <w:rFonts w:ascii="Segoe UI" w:hAnsi="Segoe UI" w:cs="Segoe UI"/>
                <w:color w:val="000000"/>
                <w:sz w:val="24"/>
                <w:szCs w:val="24"/>
              </w:rPr>
            </w:pPr>
            <w:r w:rsidRPr="007B6616">
              <w:rPr>
                <w:rFonts w:ascii="Segoe UI" w:hAnsi="Segoe UI" w:cs="Segoe UI"/>
                <w:color w:val="000000"/>
                <w:sz w:val="24"/>
                <w:szCs w:val="24"/>
              </w:rPr>
              <w:t xml:space="preserve">Please explain the reasoning behind creating the PPE before selecting a specific reactor technology. This does not seem like the best method to ensuring the chosen reactor is environmentally and physically compatible with the DNNP site. Why did OPG take this selection approach? </w:t>
            </w:r>
          </w:p>
        </w:tc>
      </w:tr>
      <w:tr w:rsidR="00AE7DD4" w:rsidRPr="007B6616" w14:paraId="4383A6B6" w14:textId="77777777" w:rsidTr="007B6616">
        <w:tc>
          <w:tcPr>
            <w:tcW w:w="2830" w:type="dxa"/>
          </w:tcPr>
          <w:p w14:paraId="13C1DAD0" w14:textId="71C0EB15"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Regulatory Codes and Standards</w:t>
            </w:r>
          </w:p>
        </w:tc>
        <w:tc>
          <w:tcPr>
            <w:tcW w:w="6520" w:type="dxa"/>
          </w:tcPr>
          <w:p w14:paraId="1585088F" w14:textId="77777777" w:rsidR="00AE7DD4" w:rsidRPr="007B6616" w:rsidRDefault="00AE7DD4" w:rsidP="00856D3F">
            <w:pPr>
              <w:pStyle w:val="ListParagraph"/>
              <w:numPr>
                <w:ilvl w:val="0"/>
                <w:numId w:val="30"/>
              </w:numPr>
              <w:rPr>
                <w:rFonts w:ascii="Segoe UI" w:hAnsi="Segoe UI" w:cs="Segoe UI"/>
                <w:color w:val="000000"/>
                <w:sz w:val="24"/>
                <w:szCs w:val="24"/>
              </w:rPr>
            </w:pPr>
            <w:r w:rsidRPr="007B6616">
              <w:rPr>
                <w:rFonts w:ascii="Segoe UI" w:hAnsi="Segoe UI" w:cs="Segoe UI"/>
                <w:color w:val="000000"/>
                <w:sz w:val="24"/>
                <w:szCs w:val="24"/>
              </w:rPr>
              <w:t xml:space="preserve">The PPE approach utilized in the document is based on a U.S. methodology. It is noted that at least five “NUREG” documents were referred to within the document (i.e., publications prepared by US Nuclear Regulatory Commission Staff). It would have been preferable to refer to documents that apply directly to the Canadian regulatory environment, but as this is the first preliminary assessment for an SMR there is no Canadian example to point to. It is important that the adoption of any methodology be based on a sound rationale that is applicable to the Canadian context. This approach should help ensure that the regulatory framework in Canada is well-defined and effective in overseeing the implementation of Small Modular Reactors (SMRs). If SMRs are to become an important part of Canada’s solution to producing low carbon electricity, and if Canada is to take a leadership role in all things SMR, especially where safety is concerned, it does make sense for the Canadian SMR proponents and for the Canadian regulatory agency to continue moving towards developing assessment methods devised for the Canadian regulatory environment. </w:t>
            </w:r>
          </w:p>
          <w:p w14:paraId="0EF40C2C" w14:textId="77777777" w:rsidR="00AE7DD4" w:rsidRPr="007B6616" w:rsidRDefault="00AE7DD4" w:rsidP="00C54C0E">
            <w:pPr>
              <w:pStyle w:val="ListParagraph"/>
              <w:ind w:left="0"/>
              <w:rPr>
                <w:rFonts w:ascii="Segoe UI" w:hAnsi="Segoe UI" w:cs="Segoe UI"/>
                <w:b/>
                <w:bCs/>
                <w:sz w:val="24"/>
                <w:szCs w:val="24"/>
              </w:rPr>
            </w:pPr>
          </w:p>
        </w:tc>
      </w:tr>
      <w:tr w:rsidR="00AE7DD4" w:rsidRPr="007B6616" w14:paraId="2BAC9D27" w14:textId="77777777" w:rsidTr="007B6616">
        <w:tc>
          <w:tcPr>
            <w:tcW w:w="2830" w:type="dxa"/>
          </w:tcPr>
          <w:p w14:paraId="0173C801" w14:textId="1D66F1F2" w:rsidR="00AE7DD4" w:rsidRPr="007B6616" w:rsidRDefault="00AE7DD4"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Environmental Assessment</w:t>
            </w:r>
          </w:p>
        </w:tc>
        <w:tc>
          <w:tcPr>
            <w:tcW w:w="6520" w:type="dxa"/>
          </w:tcPr>
          <w:p w14:paraId="51CC74E0" w14:textId="6DA0D834" w:rsidR="00AE7DD4" w:rsidRPr="007B6616" w:rsidRDefault="00AE7DD4" w:rsidP="00856D3F">
            <w:pPr>
              <w:pStyle w:val="ListParagraph"/>
              <w:numPr>
                <w:ilvl w:val="0"/>
                <w:numId w:val="30"/>
              </w:numPr>
              <w:rPr>
                <w:rFonts w:ascii="Segoe UI" w:hAnsi="Segoe UI" w:cs="Segoe UI"/>
                <w:b/>
                <w:bCs/>
                <w:sz w:val="24"/>
                <w:szCs w:val="24"/>
              </w:rPr>
            </w:pPr>
            <w:r w:rsidRPr="007B6616">
              <w:rPr>
                <w:rFonts w:ascii="Segoe UI" w:hAnsi="Segoe UI" w:cs="Segoe UI"/>
                <w:color w:val="000000"/>
                <w:sz w:val="24"/>
                <w:szCs w:val="24"/>
              </w:rPr>
              <w:t>In addition to the question of the BWRX-300’s “fundamental difference” to other reactor technologies, or not, there are other public interest arguments for a new EA. Since the completion of the EA for the DNNP, federal environmental assessment legislation has changed twice. New species at risk have been listed and are present in the vicinity of the Darlington site. Further, the underlying need for these projects, and changes in energy demand forecasts and energy mixes since 2006 have been significant – as have public decision-making processes in the province relating to these types of determinations. EIS revisions (between 2010 and 2022) were dormant for 12 years, and the initial EIS is now 14-17 years old.</w:t>
            </w:r>
          </w:p>
        </w:tc>
      </w:tr>
      <w:tr w:rsidR="00291FB0" w:rsidRPr="007B6616" w14:paraId="29ACC542" w14:textId="77777777" w:rsidTr="00C150DB">
        <w:tc>
          <w:tcPr>
            <w:tcW w:w="9350" w:type="dxa"/>
            <w:gridSpan w:val="2"/>
            <w:shd w:val="clear" w:color="auto" w:fill="D9D9D9" w:themeFill="background1" w:themeFillShade="D9"/>
          </w:tcPr>
          <w:p w14:paraId="6C4B8EA8" w14:textId="4FAA5B85" w:rsidR="00291FB0" w:rsidRPr="007B6616" w:rsidRDefault="00291FB0" w:rsidP="00C54C0E">
            <w:pPr>
              <w:pStyle w:val="ListParagraph"/>
              <w:ind w:left="0"/>
              <w:rPr>
                <w:rFonts w:ascii="Segoe UI" w:hAnsi="Segoe UI" w:cs="Segoe UI"/>
                <w:b/>
                <w:bCs/>
                <w:sz w:val="24"/>
                <w:szCs w:val="24"/>
                <w:lang w:val="en-US"/>
              </w:rPr>
            </w:pPr>
            <w:r w:rsidRPr="007B6616">
              <w:rPr>
                <w:rFonts w:ascii="Segoe UI" w:hAnsi="Segoe UI" w:cs="Segoe UI"/>
                <w:b/>
                <w:bCs/>
                <w:sz w:val="24"/>
                <w:szCs w:val="24"/>
                <w:lang w:val="en-US"/>
              </w:rPr>
              <w:t>Operations</w:t>
            </w:r>
          </w:p>
        </w:tc>
      </w:tr>
      <w:tr w:rsidR="0097379B" w:rsidRPr="007B6616" w14:paraId="07FC2E0E" w14:textId="77777777" w:rsidTr="007B6616">
        <w:tc>
          <w:tcPr>
            <w:tcW w:w="2830" w:type="dxa"/>
          </w:tcPr>
          <w:p w14:paraId="11D40DC7" w14:textId="52B6B95F"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Reactor Operations</w:t>
            </w:r>
          </w:p>
        </w:tc>
        <w:tc>
          <w:tcPr>
            <w:tcW w:w="6520" w:type="dxa"/>
          </w:tcPr>
          <w:p w14:paraId="775DD0E8" w14:textId="77777777" w:rsidR="0097379B" w:rsidRPr="007B6616" w:rsidRDefault="0097379B" w:rsidP="00856D3F">
            <w:pPr>
              <w:pStyle w:val="ListParagraph"/>
              <w:numPr>
                <w:ilvl w:val="0"/>
                <w:numId w:val="30"/>
              </w:numPr>
              <w:rPr>
                <w:rFonts w:ascii="Segoe UI" w:hAnsi="Segoe UI" w:cs="Segoe UI"/>
                <w:color w:val="000000"/>
                <w:sz w:val="24"/>
                <w:szCs w:val="24"/>
              </w:rPr>
            </w:pPr>
            <w:r w:rsidRPr="007B6616">
              <w:rPr>
                <w:rFonts w:ascii="Segoe UI" w:hAnsi="Segoe UI" w:cs="Segoe UI"/>
                <w:color w:val="000000"/>
                <w:sz w:val="24"/>
                <w:szCs w:val="24"/>
              </w:rPr>
              <w:t>How much water is used in this process, and is it</w:t>
            </w:r>
            <w:r w:rsidRPr="007B6616">
              <w:rPr>
                <w:rFonts w:ascii="Segoe UI" w:hAnsi="Segoe UI" w:cs="Segoe UI"/>
                <w:color w:val="000000"/>
                <w:sz w:val="24"/>
                <w:szCs w:val="24"/>
              </w:rPr>
              <w:br/>
              <w:t>lake water? What happens to the water once it has</w:t>
            </w:r>
            <w:r w:rsidRPr="007B6616">
              <w:rPr>
                <w:rFonts w:ascii="Segoe UI" w:hAnsi="Segoe UI" w:cs="Segoe UI"/>
                <w:color w:val="000000"/>
                <w:sz w:val="24"/>
                <w:szCs w:val="24"/>
              </w:rPr>
              <w:br/>
              <w:t>been used as a coolant/moderator?</w:t>
            </w:r>
          </w:p>
          <w:p w14:paraId="0F213508" w14:textId="65244246" w:rsidR="0097379B" w:rsidRPr="007B6616" w:rsidRDefault="0097379B" w:rsidP="00856D3F">
            <w:pPr>
              <w:pStyle w:val="ListParagraph"/>
              <w:numPr>
                <w:ilvl w:val="0"/>
                <w:numId w:val="30"/>
              </w:numPr>
              <w:rPr>
                <w:rFonts w:ascii="Segoe UI" w:hAnsi="Segoe UI" w:cs="Segoe UI"/>
                <w:b/>
                <w:bCs/>
                <w:sz w:val="24"/>
                <w:szCs w:val="24"/>
              </w:rPr>
            </w:pPr>
            <w:r w:rsidRPr="007B6616">
              <w:rPr>
                <w:rFonts w:ascii="Segoe UI" w:hAnsi="Segoe UI" w:cs="Segoe UI"/>
                <w:color w:val="000000"/>
                <w:sz w:val="24"/>
                <w:szCs w:val="24"/>
              </w:rPr>
              <w:t>In past discussions with OPG/CNSC staff regarding the BWRXT technology, we were told there is no "spent water" and that the process occurs in a continuous loop. Can this concept be further elaborated on? Does the process not generate wastewater?</w:t>
            </w:r>
          </w:p>
        </w:tc>
      </w:tr>
      <w:tr w:rsidR="0097379B" w:rsidRPr="007B6616" w14:paraId="3439834A" w14:textId="77777777" w:rsidTr="007B6616">
        <w:tc>
          <w:tcPr>
            <w:tcW w:w="2830" w:type="dxa"/>
          </w:tcPr>
          <w:p w14:paraId="667BA316" w14:textId="712F78F0"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Reactor Operations</w:t>
            </w:r>
          </w:p>
        </w:tc>
        <w:tc>
          <w:tcPr>
            <w:tcW w:w="6520" w:type="dxa"/>
          </w:tcPr>
          <w:p w14:paraId="302C72B6" w14:textId="3493361A" w:rsidR="0097379B" w:rsidRPr="007B6616" w:rsidRDefault="0097379B" w:rsidP="00856D3F">
            <w:pPr>
              <w:pStyle w:val="ListParagraph"/>
              <w:numPr>
                <w:ilvl w:val="0"/>
                <w:numId w:val="31"/>
              </w:numPr>
              <w:rPr>
                <w:rFonts w:ascii="Segoe UI" w:hAnsi="Segoe UI" w:cs="Segoe UI"/>
                <w:b/>
                <w:bCs/>
                <w:sz w:val="24"/>
                <w:szCs w:val="24"/>
              </w:rPr>
            </w:pPr>
            <w:r w:rsidRPr="007B6616">
              <w:rPr>
                <w:rFonts w:ascii="Segoe UI" w:hAnsi="Segoe UI" w:cs="Segoe UI"/>
                <w:color w:val="000000"/>
                <w:sz w:val="24"/>
                <w:szCs w:val="24"/>
              </w:rPr>
              <w:t xml:space="preserve">While section 3.1 provided a reasonable summary of the of the general characteristics of the reactor, this section of the report – or other sections – did not provide an indication of burnup; it is important to know the expected burn-up </w:t>
            </w:r>
            <w:r w:rsidR="007B6616" w:rsidRPr="007B6616">
              <w:rPr>
                <w:rFonts w:ascii="Segoe UI" w:hAnsi="Segoe UI" w:cs="Segoe UI"/>
                <w:color w:val="000000"/>
                <w:sz w:val="24"/>
                <w:szCs w:val="24"/>
              </w:rPr>
              <w:t>to</w:t>
            </w:r>
            <w:r w:rsidRPr="007B6616">
              <w:rPr>
                <w:rFonts w:ascii="Segoe UI" w:hAnsi="Segoe UI" w:cs="Segoe UI"/>
                <w:color w:val="000000"/>
                <w:sz w:val="24"/>
                <w:szCs w:val="24"/>
              </w:rPr>
              <w:t xml:space="preserve"> anticipate composition and properties of the spent fuel and this information is not provided</w:t>
            </w:r>
          </w:p>
        </w:tc>
      </w:tr>
      <w:tr w:rsidR="00291FB0" w:rsidRPr="007B6616" w14:paraId="4D04A2E0" w14:textId="77777777" w:rsidTr="00C150DB">
        <w:tc>
          <w:tcPr>
            <w:tcW w:w="9350" w:type="dxa"/>
            <w:gridSpan w:val="2"/>
            <w:shd w:val="clear" w:color="auto" w:fill="D9D9D9" w:themeFill="background1" w:themeFillShade="D9"/>
          </w:tcPr>
          <w:p w14:paraId="5A7B7356" w14:textId="51E2B03C" w:rsidR="00291FB0" w:rsidRPr="007B6616" w:rsidRDefault="00291FB0" w:rsidP="00C54C0E">
            <w:pPr>
              <w:pStyle w:val="ListParagraph"/>
              <w:ind w:left="0"/>
              <w:rPr>
                <w:rFonts w:ascii="Segoe UI" w:hAnsi="Segoe UI" w:cs="Segoe UI"/>
                <w:b/>
                <w:bCs/>
                <w:sz w:val="24"/>
                <w:szCs w:val="24"/>
                <w:lang w:val="en-US"/>
              </w:rPr>
            </w:pPr>
            <w:r w:rsidRPr="007B6616">
              <w:rPr>
                <w:rFonts w:ascii="Segoe UI" w:hAnsi="Segoe UI" w:cs="Segoe UI"/>
                <w:b/>
                <w:bCs/>
                <w:sz w:val="24"/>
                <w:szCs w:val="24"/>
                <w:lang w:val="en-US"/>
              </w:rPr>
              <w:t>Radiological Dose</w:t>
            </w:r>
          </w:p>
        </w:tc>
      </w:tr>
      <w:tr w:rsidR="0097379B" w:rsidRPr="007B6616" w14:paraId="7B825B7F" w14:textId="77777777" w:rsidTr="007B6616">
        <w:tc>
          <w:tcPr>
            <w:tcW w:w="2830" w:type="dxa"/>
          </w:tcPr>
          <w:p w14:paraId="239AC36D" w14:textId="6D27B76D"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Source Term Inventory</w:t>
            </w:r>
          </w:p>
        </w:tc>
        <w:tc>
          <w:tcPr>
            <w:tcW w:w="6520" w:type="dxa"/>
          </w:tcPr>
          <w:p w14:paraId="642B028C" w14:textId="77777777" w:rsidR="0097379B" w:rsidRPr="007B6616" w:rsidRDefault="0097379B" w:rsidP="00856D3F">
            <w:pPr>
              <w:pStyle w:val="ListParagraph"/>
              <w:numPr>
                <w:ilvl w:val="0"/>
                <w:numId w:val="31"/>
              </w:numPr>
              <w:rPr>
                <w:rFonts w:ascii="Segoe UI" w:hAnsi="Segoe UI" w:cs="Segoe UI"/>
                <w:color w:val="000000"/>
                <w:sz w:val="24"/>
                <w:szCs w:val="24"/>
              </w:rPr>
            </w:pPr>
            <w:r w:rsidRPr="007B6616">
              <w:rPr>
                <w:rFonts w:ascii="Segoe UI" w:hAnsi="Segoe UI" w:cs="Segoe UI"/>
                <w:color w:val="000000"/>
                <w:sz w:val="24"/>
                <w:szCs w:val="24"/>
              </w:rPr>
              <w:t>No comparison of source terms between 4 reactors without giving any information about the reactors, their vulnerabilities, accident scenarios, release locations, release frequencies is meaningless.</w:t>
            </w:r>
          </w:p>
          <w:p w14:paraId="0347FB5A" w14:textId="3E35C2A3" w:rsidR="0097379B" w:rsidRPr="007B6616" w:rsidRDefault="0097379B" w:rsidP="00856D3F">
            <w:pPr>
              <w:pStyle w:val="ListParagraph"/>
              <w:numPr>
                <w:ilvl w:val="0"/>
                <w:numId w:val="31"/>
              </w:numPr>
              <w:rPr>
                <w:rFonts w:ascii="Segoe UI" w:hAnsi="Segoe UI" w:cs="Segoe UI"/>
                <w:b/>
                <w:bCs/>
                <w:sz w:val="24"/>
                <w:szCs w:val="24"/>
              </w:rPr>
            </w:pPr>
            <w:r w:rsidRPr="007B6616">
              <w:rPr>
                <w:rFonts w:ascii="Segoe UI" w:hAnsi="Segoe UI" w:cs="Segoe UI"/>
                <w:color w:val="000000"/>
                <w:sz w:val="24"/>
                <w:szCs w:val="24"/>
              </w:rPr>
              <w:t xml:space="preserve">Source term from normal operation from </w:t>
            </w:r>
            <w:proofErr w:type="gramStart"/>
            <w:r w:rsidRPr="007B6616">
              <w:rPr>
                <w:rFonts w:ascii="Segoe UI" w:hAnsi="Segoe UI" w:cs="Segoe UI"/>
                <w:color w:val="000000"/>
                <w:sz w:val="24"/>
                <w:szCs w:val="24"/>
              </w:rPr>
              <w:t>a number of</w:t>
            </w:r>
            <w:proofErr w:type="gramEnd"/>
            <w:r w:rsidRPr="007B6616">
              <w:rPr>
                <w:rFonts w:ascii="Segoe UI" w:hAnsi="Segoe UI" w:cs="Segoe UI"/>
                <w:color w:val="000000"/>
                <w:sz w:val="24"/>
                <w:szCs w:val="24"/>
              </w:rPr>
              <w:t xml:space="preserve"> release points was provided </w:t>
            </w:r>
            <w:r w:rsidR="007B6616" w:rsidRPr="007B6616">
              <w:rPr>
                <w:rFonts w:ascii="Segoe UI" w:hAnsi="Segoe UI" w:cs="Segoe UI"/>
                <w:color w:val="000000"/>
                <w:sz w:val="24"/>
                <w:szCs w:val="24"/>
              </w:rPr>
              <w:t>(also</w:t>
            </w:r>
            <w:r w:rsidRPr="007B6616">
              <w:rPr>
                <w:rFonts w:ascii="Segoe UI" w:hAnsi="Segoe UI" w:cs="Segoe UI"/>
                <w:color w:val="000000"/>
                <w:sz w:val="24"/>
                <w:szCs w:val="24"/>
              </w:rPr>
              <w:t xml:space="preserve"> recommended by NRC in its review of NEI-10) with certain entries missing. Source term from regular emissions was provided without providing any information on </w:t>
            </w:r>
            <w:r w:rsidR="009D7B56" w:rsidRPr="007B6616">
              <w:rPr>
                <w:rFonts w:ascii="Segoe UI" w:hAnsi="Segoe UI" w:cs="Segoe UI"/>
                <w:color w:val="000000"/>
                <w:sz w:val="24"/>
                <w:szCs w:val="24"/>
              </w:rPr>
              <w:t>its</w:t>
            </w:r>
            <w:r w:rsidRPr="007B6616">
              <w:rPr>
                <w:rFonts w:ascii="Segoe UI" w:hAnsi="Segoe UI" w:cs="Segoe UI"/>
                <w:color w:val="000000"/>
                <w:sz w:val="24"/>
                <w:szCs w:val="24"/>
              </w:rPr>
              <w:t xml:space="preserve"> nature (continuous or frequency of puffs if any) and what sources it includes, of basis of its derivation, analytical </w:t>
            </w:r>
            <w:proofErr w:type="gramStart"/>
            <w:r w:rsidRPr="007B6616">
              <w:rPr>
                <w:rFonts w:ascii="Segoe UI" w:hAnsi="Segoe UI" w:cs="Segoe UI"/>
                <w:color w:val="000000"/>
                <w:sz w:val="24"/>
                <w:szCs w:val="24"/>
              </w:rPr>
              <w:t>assumptions</w:t>
            </w:r>
            <w:proofErr w:type="gramEnd"/>
            <w:r w:rsidRPr="007B6616">
              <w:rPr>
                <w:rFonts w:ascii="Segoe UI" w:hAnsi="Segoe UI" w:cs="Segoe UI"/>
                <w:color w:val="000000"/>
                <w:sz w:val="24"/>
                <w:szCs w:val="24"/>
              </w:rPr>
              <w:t xml:space="preserve"> and tools.</w:t>
            </w:r>
          </w:p>
        </w:tc>
      </w:tr>
      <w:tr w:rsidR="0097379B" w:rsidRPr="007B6616" w14:paraId="7F3678F8" w14:textId="77777777" w:rsidTr="007B6616">
        <w:tc>
          <w:tcPr>
            <w:tcW w:w="2830" w:type="dxa"/>
          </w:tcPr>
          <w:p w14:paraId="51CE94C8" w14:textId="567D0A89"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Effects on Humans</w:t>
            </w:r>
          </w:p>
        </w:tc>
        <w:tc>
          <w:tcPr>
            <w:tcW w:w="6520" w:type="dxa"/>
          </w:tcPr>
          <w:p w14:paraId="7D2E95D1" w14:textId="001D0E3F" w:rsidR="0097379B" w:rsidRPr="007B6616" w:rsidRDefault="0097379B" w:rsidP="00856D3F">
            <w:pPr>
              <w:pStyle w:val="ListParagraph"/>
              <w:numPr>
                <w:ilvl w:val="0"/>
                <w:numId w:val="32"/>
              </w:numPr>
              <w:rPr>
                <w:rFonts w:ascii="Segoe UI" w:hAnsi="Segoe UI" w:cs="Segoe UI"/>
                <w:b/>
                <w:bCs/>
                <w:sz w:val="24"/>
                <w:szCs w:val="24"/>
              </w:rPr>
            </w:pPr>
            <w:r w:rsidRPr="007B6616">
              <w:rPr>
                <w:rFonts w:ascii="Segoe UI" w:hAnsi="Segoe UI" w:cs="Segoe UI"/>
                <w:color w:val="000000"/>
                <w:sz w:val="24"/>
                <w:szCs w:val="24"/>
              </w:rPr>
              <w:t xml:space="preserve">It is our understanding that water interacts with the radioactive bundles in the BWRX-300 design. Has the PPE considered the effects on humans and the environment if the radioactive water interacts with the environment? It is our understanding that the interaction of water with the nuclear bundles is </w:t>
            </w:r>
            <w:r w:rsidR="00BB571A" w:rsidRPr="007B6616">
              <w:rPr>
                <w:rFonts w:ascii="Segoe UI" w:hAnsi="Segoe UI" w:cs="Segoe UI"/>
                <w:color w:val="000000"/>
                <w:sz w:val="24"/>
                <w:szCs w:val="24"/>
              </w:rPr>
              <w:t>unique</w:t>
            </w:r>
            <w:r w:rsidRPr="007B6616">
              <w:rPr>
                <w:rFonts w:ascii="Segoe UI" w:hAnsi="Segoe UI" w:cs="Segoe UI"/>
                <w:color w:val="000000"/>
                <w:sz w:val="24"/>
                <w:szCs w:val="24"/>
              </w:rPr>
              <w:t xml:space="preserve"> to this design.</w:t>
            </w:r>
          </w:p>
        </w:tc>
      </w:tr>
      <w:tr w:rsidR="0097379B" w:rsidRPr="007B6616" w14:paraId="674EEC83" w14:textId="77777777" w:rsidTr="007B6616">
        <w:tc>
          <w:tcPr>
            <w:tcW w:w="2830" w:type="dxa"/>
          </w:tcPr>
          <w:p w14:paraId="0EAA7234" w14:textId="5EFB115E"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Effects on Humans</w:t>
            </w:r>
          </w:p>
        </w:tc>
        <w:tc>
          <w:tcPr>
            <w:tcW w:w="6520" w:type="dxa"/>
          </w:tcPr>
          <w:p w14:paraId="69DDB65A" w14:textId="2B19FDE3" w:rsidR="0097379B" w:rsidRPr="007B6616" w:rsidRDefault="0097379B" w:rsidP="00856D3F">
            <w:pPr>
              <w:pStyle w:val="ListParagraph"/>
              <w:numPr>
                <w:ilvl w:val="0"/>
                <w:numId w:val="32"/>
              </w:numPr>
              <w:rPr>
                <w:rFonts w:ascii="Segoe UI" w:hAnsi="Segoe UI" w:cs="Segoe UI"/>
                <w:color w:val="000000"/>
                <w:sz w:val="24"/>
                <w:szCs w:val="24"/>
              </w:rPr>
            </w:pPr>
            <w:r w:rsidRPr="007B6616">
              <w:rPr>
                <w:rFonts w:ascii="Segoe UI" w:hAnsi="Segoe UI" w:cs="Segoe UI"/>
                <w:color w:val="000000"/>
                <w:sz w:val="24"/>
                <w:szCs w:val="24"/>
              </w:rPr>
              <w:t xml:space="preserve">Section 4.13 discussed three parameters associated with airborne and waterborne releases of radioactive contaminants that result in doses to the public were outside of the parameters assessed in the EIS, and notes that “The three parameters associated with airborne and waterborne radioactive releases required a separate study to assess their effect and compare it with what was assessed in the EIS….”; </w:t>
            </w:r>
            <w:r w:rsidR="00BB571A">
              <w:rPr>
                <w:rFonts w:ascii="Segoe UI" w:hAnsi="Segoe UI" w:cs="Segoe UI"/>
                <w:color w:val="000000"/>
                <w:sz w:val="24"/>
                <w:szCs w:val="24"/>
              </w:rPr>
              <w:t>This refere</w:t>
            </w:r>
            <w:r w:rsidRPr="007B6616">
              <w:rPr>
                <w:rFonts w:ascii="Segoe UI" w:hAnsi="Segoe UI" w:cs="Segoe UI"/>
                <w:color w:val="000000"/>
                <w:sz w:val="24"/>
                <w:szCs w:val="24"/>
              </w:rPr>
              <w:t xml:space="preserve">nce [14] </w:t>
            </w:r>
            <w:r w:rsidR="00BB571A">
              <w:rPr>
                <w:rFonts w:ascii="Segoe UI" w:hAnsi="Segoe UI" w:cs="Segoe UI"/>
                <w:color w:val="000000"/>
                <w:sz w:val="24"/>
                <w:szCs w:val="24"/>
              </w:rPr>
              <w:t>was requested “</w:t>
            </w:r>
            <w:r w:rsidRPr="007B6616">
              <w:rPr>
                <w:rFonts w:ascii="Segoe UI" w:hAnsi="Segoe UI" w:cs="Segoe UI"/>
                <w:color w:val="000000"/>
                <w:sz w:val="24"/>
                <w:szCs w:val="24"/>
              </w:rPr>
              <w:t>Amendola and R. Parker, “DN Dose Calculations for Gap Analysis,” on February 23 and received it on March 10</w:t>
            </w:r>
            <w:r w:rsidRPr="00BB571A">
              <w:rPr>
                <w:rFonts w:ascii="Segoe UI" w:hAnsi="Segoe UI" w:cs="Segoe UI"/>
                <w:color w:val="000000"/>
                <w:sz w:val="24"/>
                <w:szCs w:val="24"/>
                <w:vertAlign w:val="superscript"/>
              </w:rPr>
              <w:t>th</w:t>
            </w:r>
            <w:r w:rsidRPr="007B6616">
              <w:rPr>
                <w:rFonts w:ascii="Segoe UI" w:hAnsi="Segoe UI" w:cs="Segoe UI"/>
                <w:color w:val="000000"/>
                <w:sz w:val="24"/>
                <w:szCs w:val="24"/>
              </w:rPr>
              <w:t xml:space="preserve">, but this arrival date – regrettably </w:t>
            </w:r>
            <w:r w:rsidR="00BB571A">
              <w:rPr>
                <w:rFonts w:ascii="Segoe UI" w:hAnsi="Segoe UI" w:cs="Segoe UI"/>
                <w:color w:val="000000"/>
                <w:sz w:val="24"/>
                <w:szCs w:val="24"/>
              </w:rPr>
              <w:t>–</w:t>
            </w:r>
            <w:r w:rsidRPr="007B6616">
              <w:rPr>
                <w:rFonts w:ascii="Segoe UI" w:hAnsi="Segoe UI" w:cs="Segoe UI"/>
                <w:color w:val="000000"/>
                <w:sz w:val="24"/>
                <w:szCs w:val="24"/>
              </w:rPr>
              <w:t xml:space="preserve"> left insufficient time for our experts’ review; the referenced documents are not available online and there can be a significant time lag between making the request and receiving the document, in those instances where the document is provided and this is problematic in all reviews, including in this instance.</w:t>
            </w:r>
          </w:p>
          <w:p w14:paraId="3BEBFCD3" w14:textId="4E8DBBA4" w:rsidR="0097379B" w:rsidRPr="007B6616" w:rsidRDefault="0097379B" w:rsidP="00856D3F">
            <w:pPr>
              <w:pStyle w:val="ListParagraph"/>
              <w:numPr>
                <w:ilvl w:val="0"/>
                <w:numId w:val="32"/>
              </w:numPr>
              <w:rPr>
                <w:rFonts w:ascii="Segoe UI" w:hAnsi="Segoe UI" w:cs="Segoe UI"/>
                <w:b/>
                <w:bCs/>
                <w:sz w:val="24"/>
                <w:szCs w:val="24"/>
              </w:rPr>
            </w:pPr>
            <w:r w:rsidRPr="007B6616">
              <w:rPr>
                <w:rFonts w:ascii="Segoe UI" w:hAnsi="Segoe UI" w:cs="Segoe UI"/>
                <w:color w:val="000000"/>
                <w:sz w:val="24"/>
                <w:szCs w:val="24"/>
              </w:rPr>
              <w:t>Section 5.3.6 “Radiation and Radioactivity Environment” makes an important statement about Radiation and Radioactivity Environment being considered a pathway to effects in other environmental components, but provides no supporting documentation</w:t>
            </w:r>
          </w:p>
        </w:tc>
      </w:tr>
      <w:tr w:rsidR="0097379B" w:rsidRPr="007B6616" w14:paraId="3F279752" w14:textId="77777777" w:rsidTr="007B6616">
        <w:tc>
          <w:tcPr>
            <w:tcW w:w="2830" w:type="dxa"/>
          </w:tcPr>
          <w:p w14:paraId="412DA1AF" w14:textId="6BD335EC"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Source Term Inventory</w:t>
            </w:r>
          </w:p>
        </w:tc>
        <w:tc>
          <w:tcPr>
            <w:tcW w:w="6520" w:type="dxa"/>
          </w:tcPr>
          <w:p w14:paraId="46FEBDBF" w14:textId="77777777" w:rsidR="0097379B" w:rsidRPr="007B6616" w:rsidRDefault="0097379B" w:rsidP="00856D3F">
            <w:pPr>
              <w:pStyle w:val="ListParagraph"/>
              <w:numPr>
                <w:ilvl w:val="0"/>
                <w:numId w:val="33"/>
              </w:numPr>
              <w:rPr>
                <w:rFonts w:ascii="Segoe UI" w:hAnsi="Segoe UI" w:cs="Segoe UI"/>
                <w:color w:val="000000"/>
                <w:sz w:val="24"/>
                <w:szCs w:val="24"/>
              </w:rPr>
            </w:pPr>
            <w:r w:rsidRPr="007B6616">
              <w:rPr>
                <w:rFonts w:ascii="Segoe UI" w:hAnsi="Segoe UI" w:cs="Segoe UI"/>
                <w:color w:val="000000"/>
                <w:sz w:val="24"/>
                <w:szCs w:val="24"/>
              </w:rPr>
              <w:t>[Table 5 in the EIS] presented in both the PPE and EIS documents indicates that the BWRX-300 has higher levels of releases for certain isotopes compared to the other reactors evaluated, even though the overall dose from the four proposed SMRs is stated to be less than that already included in</w:t>
            </w:r>
            <w:r w:rsidRPr="007B6616">
              <w:rPr>
                <w:rFonts w:ascii="Segoe UI" w:hAnsi="Segoe UI" w:cs="Segoe UI"/>
                <w:color w:val="000000"/>
                <w:sz w:val="24"/>
                <w:szCs w:val="24"/>
              </w:rPr>
              <w:br/>
              <w:t>the EIS. It would be helpful to obtain details on how the dose was calculated or provide a summary of dose of the radionuclide groups.</w:t>
            </w:r>
          </w:p>
          <w:p w14:paraId="0EA08554" w14:textId="35C21317" w:rsidR="0097379B" w:rsidRPr="007B6616" w:rsidRDefault="0097379B" w:rsidP="00856D3F">
            <w:pPr>
              <w:pStyle w:val="ListParagraph"/>
              <w:numPr>
                <w:ilvl w:val="0"/>
                <w:numId w:val="33"/>
              </w:numPr>
              <w:rPr>
                <w:rFonts w:ascii="Segoe UI" w:hAnsi="Segoe UI" w:cs="Segoe UI"/>
                <w:b/>
                <w:bCs/>
                <w:sz w:val="24"/>
                <w:szCs w:val="24"/>
              </w:rPr>
            </w:pPr>
            <w:r w:rsidRPr="007B6616">
              <w:rPr>
                <w:rFonts w:ascii="Segoe UI" w:hAnsi="Segoe UI" w:cs="Segoe UI"/>
                <w:color w:val="000000"/>
                <w:sz w:val="24"/>
                <w:szCs w:val="24"/>
              </w:rPr>
              <w:t>For example, the Institute invites further elaboration on why the BWRX-300, despite generating less electricity than the other reactors assessed, is expected to have higher annual airborne releases of radioiodine and a higher solid waste component of radioiodine release, as indicated</w:t>
            </w:r>
            <w:r w:rsidRPr="007B6616">
              <w:rPr>
                <w:rFonts w:ascii="Segoe UI" w:hAnsi="Segoe UI" w:cs="Segoe UI"/>
                <w:color w:val="000000"/>
                <w:sz w:val="24"/>
                <w:szCs w:val="24"/>
              </w:rPr>
              <w:br/>
              <w:t>in the PPE and EIS documentation. This is particularly relevant to public concern, given the need to distribute iodine pills in the event of an accidental release. A more in-depth discussion of all the airborne and liquid effluent source terms would have been beneficial.</w:t>
            </w:r>
          </w:p>
        </w:tc>
      </w:tr>
      <w:tr w:rsidR="0043578C" w:rsidRPr="007B6616" w14:paraId="08FCD0FD" w14:textId="77777777" w:rsidTr="00C150DB">
        <w:tc>
          <w:tcPr>
            <w:tcW w:w="9350" w:type="dxa"/>
            <w:gridSpan w:val="2"/>
            <w:shd w:val="clear" w:color="auto" w:fill="D9D9D9" w:themeFill="background1" w:themeFillShade="D9"/>
          </w:tcPr>
          <w:p w14:paraId="08C858A1" w14:textId="6C6F93D6" w:rsidR="0043578C" w:rsidRPr="007B6616" w:rsidRDefault="0043578C" w:rsidP="00C54C0E">
            <w:pPr>
              <w:pStyle w:val="ListParagraph"/>
              <w:ind w:left="0"/>
              <w:rPr>
                <w:rFonts w:ascii="Segoe UI" w:hAnsi="Segoe UI" w:cs="Segoe UI"/>
                <w:b/>
                <w:bCs/>
                <w:sz w:val="24"/>
                <w:szCs w:val="24"/>
                <w:lang w:val="en-US"/>
              </w:rPr>
            </w:pPr>
            <w:r w:rsidRPr="007B6616">
              <w:rPr>
                <w:rFonts w:ascii="Segoe UI" w:hAnsi="Segoe UI" w:cs="Segoe UI"/>
                <w:b/>
                <w:bCs/>
                <w:sz w:val="24"/>
                <w:szCs w:val="24"/>
                <w:lang w:val="en-US"/>
              </w:rPr>
              <w:t>Safeguards</w:t>
            </w:r>
          </w:p>
        </w:tc>
      </w:tr>
      <w:tr w:rsidR="0097379B" w:rsidRPr="007B6616" w14:paraId="0B3F9214" w14:textId="77777777" w:rsidTr="007B6616">
        <w:tc>
          <w:tcPr>
            <w:tcW w:w="2830" w:type="dxa"/>
          </w:tcPr>
          <w:p w14:paraId="639CC37B" w14:textId="156CDD3F"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Non-Proliferation</w:t>
            </w:r>
          </w:p>
        </w:tc>
        <w:tc>
          <w:tcPr>
            <w:tcW w:w="6520" w:type="dxa"/>
          </w:tcPr>
          <w:p w14:paraId="10042D03" w14:textId="259B485D" w:rsidR="0097379B" w:rsidRPr="007B6616" w:rsidRDefault="00BB571A" w:rsidP="00856D3F">
            <w:pPr>
              <w:pStyle w:val="ListParagraph"/>
              <w:numPr>
                <w:ilvl w:val="0"/>
                <w:numId w:val="34"/>
              </w:numPr>
              <w:rPr>
                <w:rFonts w:ascii="Segoe UI" w:hAnsi="Segoe UI" w:cs="Segoe UI"/>
                <w:color w:val="000000"/>
                <w:sz w:val="24"/>
                <w:szCs w:val="24"/>
              </w:rPr>
            </w:pPr>
            <w:r>
              <w:rPr>
                <w:rFonts w:ascii="Segoe UI" w:hAnsi="Segoe UI" w:cs="Segoe UI"/>
                <w:color w:val="000000"/>
                <w:sz w:val="24"/>
                <w:szCs w:val="24"/>
              </w:rPr>
              <w:t>W</w:t>
            </w:r>
            <w:r w:rsidR="0097379B" w:rsidRPr="007B6616">
              <w:rPr>
                <w:rFonts w:ascii="Segoe UI" w:hAnsi="Segoe UI" w:cs="Segoe UI"/>
                <w:color w:val="000000"/>
                <w:sz w:val="24"/>
                <w:szCs w:val="24"/>
              </w:rPr>
              <w:t xml:space="preserve">hat </w:t>
            </w:r>
            <w:r>
              <w:rPr>
                <w:rFonts w:ascii="Segoe UI" w:hAnsi="Segoe UI" w:cs="Segoe UI"/>
                <w:color w:val="000000"/>
                <w:sz w:val="24"/>
                <w:szCs w:val="24"/>
              </w:rPr>
              <w:t xml:space="preserve">are </w:t>
            </w:r>
            <w:r w:rsidR="0097379B" w:rsidRPr="007B6616">
              <w:rPr>
                <w:rFonts w:ascii="Segoe UI" w:hAnsi="Segoe UI" w:cs="Segoe UI"/>
                <w:color w:val="000000"/>
                <w:sz w:val="24"/>
                <w:szCs w:val="24"/>
              </w:rPr>
              <w:t>the global security considerations for this technology are and who is responsible for that</w:t>
            </w:r>
            <w:r>
              <w:rPr>
                <w:rFonts w:ascii="Segoe UI" w:hAnsi="Segoe UI" w:cs="Segoe UI"/>
                <w:color w:val="000000"/>
                <w:sz w:val="24"/>
                <w:szCs w:val="24"/>
              </w:rPr>
              <w:t>? Wh</w:t>
            </w:r>
            <w:r w:rsidR="0097379B" w:rsidRPr="007B6616">
              <w:rPr>
                <w:rFonts w:ascii="Segoe UI" w:hAnsi="Segoe UI" w:cs="Segoe UI"/>
                <w:color w:val="000000"/>
                <w:sz w:val="24"/>
                <w:szCs w:val="24"/>
              </w:rPr>
              <w:t xml:space="preserve">ere </w:t>
            </w:r>
            <w:r w:rsidR="009D7B56">
              <w:rPr>
                <w:rFonts w:ascii="Segoe UI" w:hAnsi="Segoe UI" w:cs="Segoe UI"/>
                <w:color w:val="000000"/>
                <w:sz w:val="24"/>
                <w:szCs w:val="24"/>
              </w:rPr>
              <w:t xml:space="preserve">would </w:t>
            </w:r>
            <w:r w:rsidR="009D7B56" w:rsidRPr="007B6616">
              <w:rPr>
                <w:rFonts w:ascii="Segoe UI" w:hAnsi="Segoe UI" w:cs="Segoe UI"/>
                <w:color w:val="000000"/>
                <w:sz w:val="24"/>
                <w:szCs w:val="24"/>
              </w:rPr>
              <w:t>the fuel</w:t>
            </w:r>
            <w:r w:rsidR="0097379B" w:rsidRPr="007B6616">
              <w:rPr>
                <w:rFonts w:ascii="Segoe UI" w:hAnsi="Segoe UI" w:cs="Segoe UI"/>
                <w:color w:val="000000"/>
                <w:sz w:val="24"/>
                <w:szCs w:val="24"/>
              </w:rPr>
              <w:t xml:space="preserve"> come from</w:t>
            </w:r>
            <w:r>
              <w:rPr>
                <w:rFonts w:ascii="Segoe UI" w:hAnsi="Segoe UI" w:cs="Segoe UI"/>
                <w:color w:val="000000"/>
                <w:sz w:val="24"/>
                <w:szCs w:val="24"/>
              </w:rPr>
              <w:t>?</w:t>
            </w:r>
          </w:p>
        </w:tc>
      </w:tr>
      <w:tr w:rsidR="0043578C" w:rsidRPr="007B6616" w14:paraId="134E974C" w14:textId="77777777" w:rsidTr="00C150DB">
        <w:tc>
          <w:tcPr>
            <w:tcW w:w="9350" w:type="dxa"/>
            <w:gridSpan w:val="2"/>
            <w:shd w:val="clear" w:color="auto" w:fill="D9D9D9" w:themeFill="background1" w:themeFillShade="D9"/>
          </w:tcPr>
          <w:p w14:paraId="49386384" w14:textId="5E22C88A" w:rsidR="0043578C" w:rsidRPr="007B6616" w:rsidRDefault="0043578C" w:rsidP="00C54C0E">
            <w:pPr>
              <w:pStyle w:val="ListParagraph"/>
              <w:ind w:left="0"/>
              <w:rPr>
                <w:rFonts w:ascii="Segoe UI" w:hAnsi="Segoe UI" w:cs="Segoe UI"/>
                <w:b/>
                <w:bCs/>
                <w:sz w:val="24"/>
                <w:szCs w:val="24"/>
                <w:lang w:val="en-US"/>
              </w:rPr>
            </w:pPr>
            <w:r w:rsidRPr="007B6616">
              <w:rPr>
                <w:rFonts w:ascii="Segoe UI" w:hAnsi="Segoe UI" w:cs="Segoe UI"/>
                <w:b/>
                <w:bCs/>
                <w:sz w:val="24"/>
                <w:szCs w:val="24"/>
                <w:lang w:val="en-US"/>
              </w:rPr>
              <w:t>Wastes</w:t>
            </w:r>
          </w:p>
        </w:tc>
      </w:tr>
      <w:tr w:rsidR="0097379B" w:rsidRPr="007B6616" w14:paraId="0547E60D" w14:textId="77777777" w:rsidTr="007B6616">
        <w:tc>
          <w:tcPr>
            <w:tcW w:w="2830" w:type="dxa"/>
          </w:tcPr>
          <w:p w14:paraId="5E4D1D72" w14:textId="361458C0"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Decommissioning</w:t>
            </w:r>
          </w:p>
        </w:tc>
        <w:tc>
          <w:tcPr>
            <w:tcW w:w="6520" w:type="dxa"/>
          </w:tcPr>
          <w:p w14:paraId="36640F59" w14:textId="77777777" w:rsidR="0097379B" w:rsidRPr="007B6616" w:rsidRDefault="0097379B" w:rsidP="00856D3F">
            <w:pPr>
              <w:pStyle w:val="ListParagraph"/>
              <w:numPr>
                <w:ilvl w:val="0"/>
                <w:numId w:val="34"/>
              </w:numPr>
              <w:rPr>
                <w:rFonts w:ascii="Segoe UI" w:hAnsi="Segoe UI" w:cs="Segoe UI"/>
                <w:color w:val="000000"/>
                <w:sz w:val="24"/>
                <w:szCs w:val="24"/>
              </w:rPr>
            </w:pPr>
            <w:r w:rsidRPr="007B6616">
              <w:rPr>
                <w:rFonts w:ascii="Segoe UI" w:hAnsi="Segoe UI" w:cs="Segoe UI"/>
                <w:color w:val="000000"/>
                <w:sz w:val="24"/>
                <w:szCs w:val="24"/>
              </w:rPr>
              <w:t>Decommissioning costs</w:t>
            </w:r>
          </w:p>
          <w:p w14:paraId="4F6F8B82" w14:textId="7E784F0A" w:rsidR="0097379B" w:rsidRPr="007B6616" w:rsidRDefault="0097379B" w:rsidP="00856D3F">
            <w:pPr>
              <w:pStyle w:val="ListParagraph"/>
              <w:numPr>
                <w:ilvl w:val="0"/>
                <w:numId w:val="34"/>
              </w:numPr>
              <w:rPr>
                <w:rFonts w:ascii="Segoe UI" w:hAnsi="Segoe UI" w:cs="Segoe UI"/>
                <w:color w:val="000000"/>
                <w:sz w:val="24"/>
                <w:szCs w:val="24"/>
              </w:rPr>
            </w:pPr>
            <w:r w:rsidRPr="007B6616">
              <w:rPr>
                <w:rFonts w:ascii="Segoe UI" w:hAnsi="Segoe UI" w:cs="Segoe UI"/>
                <w:color w:val="000000"/>
                <w:sz w:val="24"/>
                <w:szCs w:val="24"/>
              </w:rPr>
              <w:t>Decommissioning responsibility</w:t>
            </w:r>
          </w:p>
        </w:tc>
      </w:tr>
      <w:tr w:rsidR="0097379B" w:rsidRPr="007B6616" w14:paraId="2FB53023" w14:textId="77777777" w:rsidTr="007B6616">
        <w:tc>
          <w:tcPr>
            <w:tcW w:w="2830" w:type="dxa"/>
          </w:tcPr>
          <w:p w14:paraId="727CE0FA" w14:textId="5C179E08"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Decommissioning</w:t>
            </w:r>
          </w:p>
        </w:tc>
        <w:tc>
          <w:tcPr>
            <w:tcW w:w="6520" w:type="dxa"/>
          </w:tcPr>
          <w:p w14:paraId="3BCFD899" w14:textId="5133D06E" w:rsidR="0097379B" w:rsidRPr="007B6616" w:rsidRDefault="0097379B" w:rsidP="00856D3F">
            <w:pPr>
              <w:pStyle w:val="ListParagraph"/>
              <w:numPr>
                <w:ilvl w:val="0"/>
                <w:numId w:val="35"/>
              </w:numPr>
              <w:rPr>
                <w:rFonts w:ascii="Segoe UI" w:hAnsi="Segoe UI" w:cs="Segoe UI"/>
                <w:b/>
                <w:bCs/>
                <w:sz w:val="24"/>
                <w:szCs w:val="24"/>
              </w:rPr>
            </w:pPr>
            <w:r w:rsidRPr="007B6616">
              <w:rPr>
                <w:rFonts w:ascii="Segoe UI" w:hAnsi="Segoe UI" w:cs="Segoe UI"/>
                <w:color w:val="000000"/>
                <w:sz w:val="24"/>
                <w:szCs w:val="24"/>
              </w:rPr>
              <w:t xml:space="preserve">Without a decommissioning plan designed specifically for a BWRX-300 reactor, it is not possible to determine whether the technology selected by OPG </w:t>
            </w:r>
            <w:r w:rsidR="00BB571A">
              <w:rPr>
                <w:rFonts w:ascii="Segoe UI" w:hAnsi="Segoe UI" w:cs="Segoe UI"/>
                <w:color w:val="000000"/>
                <w:sz w:val="24"/>
                <w:szCs w:val="24"/>
              </w:rPr>
              <w:t>complies</w:t>
            </w:r>
            <w:r w:rsidRPr="007B6616">
              <w:rPr>
                <w:rFonts w:ascii="Segoe UI" w:hAnsi="Segoe UI" w:cs="Segoe UI"/>
                <w:color w:val="000000"/>
                <w:sz w:val="24"/>
                <w:szCs w:val="24"/>
              </w:rPr>
              <w:t xml:space="preserve"> with the EIS. We request that the CNSC require OPG to outline a detailed and non</w:t>
            </w:r>
            <w:r w:rsidR="009D7B56">
              <w:rPr>
                <w:rFonts w:ascii="Segoe UI" w:hAnsi="Segoe UI" w:cs="Segoe UI"/>
                <w:color w:val="000000"/>
                <w:sz w:val="24"/>
                <w:szCs w:val="24"/>
              </w:rPr>
              <w:t>-</w:t>
            </w:r>
            <w:r w:rsidRPr="007B6616">
              <w:rPr>
                <w:rFonts w:ascii="Segoe UI" w:hAnsi="Segoe UI" w:cs="Segoe UI"/>
                <w:color w:val="000000"/>
                <w:sz w:val="24"/>
                <w:szCs w:val="24"/>
              </w:rPr>
              <w:t>theoretical decommissioning plan for the BWRX-300 reactors before any further assessments occur for the DNNP site.</w:t>
            </w:r>
          </w:p>
        </w:tc>
      </w:tr>
      <w:tr w:rsidR="0097379B" w:rsidRPr="007B6616" w14:paraId="5EAF4710" w14:textId="77777777" w:rsidTr="007B6616">
        <w:tc>
          <w:tcPr>
            <w:tcW w:w="2830" w:type="dxa"/>
          </w:tcPr>
          <w:p w14:paraId="5B270CB5" w14:textId="77777777"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Decommissioning</w:t>
            </w:r>
          </w:p>
          <w:p w14:paraId="43C13BC2" w14:textId="77777777" w:rsidR="0097379B" w:rsidRPr="007B6616" w:rsidRDefault="0097379B" w:rsidP="00C54C0E">
            <w:pPr>
              <w:pStyle w:val="ListParagraph"/>
              <w:ind w:left="0"/>
              <w:rPr>
                <w:rFonts w:ascii="Segoe UI" w:hAnsi="Segoe UI" w:cs="Segoe UI"/>
                <w:sz w:val="24"/>
                <w:szCs w:val="24"/>
                <w:lang w:val="en-US"/>
              </w:rPr>
            </w:pPr>
          </w:p>
          <w:p w14:paraId="1265A6D1" w14:textId="77777777" w:rsidR="0097379B" w:rsidRPr="007B6616" w:rsidRDefault="0097379B" w:rsidP="00C54C0E">
            <w:pPr>
              <w:pStyle w:val="ListParagraph"/>
              <w:ind w:left="0"/>
              <w:rPr>
                <w:rFonts w:ascii="Segoe UI" w:hAnsi="Segoe UI" w:cs="Segoe UI"/>
                <w:sz w:val="24"/>
                <w:szCs w:val="24"/>
                <w:lang w:val="en-US"/>
              </w:rPr>
            </w:pPr>
          </w:p>
          <w:p w14:paraId="5B9CB7EC" w14:textId="77777777" w:rsidR="0097379B" w:rsidRPr="007B6616" w:rsidRDefault="0097379B" w:rsidP="00C54C0E">
            <w:pPr>
              <w:pStyle w:val="ListParagraph"/>
              <w:ind w:left="0"/>
              <w:rPr>
                <w:rFonts w:ascii="Segoe UI" w:hAnsi="Segoe UI" w:cs="Segoe UI"/>
                <w:sz w:val="24"/>
                <w:szCs w:val="24"/>
                <w:lang w:val="en-US"/>
              </w:rPr>
            </w:pPr>
          </w:p>
          <w:p w14:paraId="51307DF5" w14:textId="77777777" w:rsidR="0097379B" w:rsidRPr="007B6616" w:rsidRDefault="0097379B" w:rsidP="00C54C0E">
            <w:pPr>
              <w:pStyle w:val="ListParagraph"/>
              <w:ind w:left="0"/>
              <w:rPr>
                <w:rFonts w:ascii="Segoe UI" w:hAnsi="Segoe UI" w:cs="Segoe UI"/>
                <w:sz w:val="24"/>
                <w:szCs w:val="24"/>
                <w:lang w:val="en-US"/>
              </w:rPr>
            </w:pPr>
          </w:p>
          <w:p w14:paraId="26D27AAB" w14:textId="77777777" w:rsidR="0097379B" w:rsidRPr="007B6616" w:rsidRDefault="0097379B" w:rsidP="00C54C0E">
            <w:pPr>
              <w:pStyle w:val="ListParagraph"/>
              <w:ind w:left="0"/>
              <w:rPr>
                <w:rFonts w:ascii="Segoe UI" w:hAnsi="Segoe UI" w:cs="Segoe UI"/>
                <w:sz w:val="24"/>
                <w:szCs w:val="24"/>
                <w:lang w:val="en-US"/>
              </w:rPr>
            </w:pPr>
          </w:p>
          <w:p w14:paraId="0F5C3D3F" w14:textId="77777777" w:rsidR="0097379B" w:rsidRPr="007B6616" w:rsidRDefault="0097379B" w:rsidP="00C54C0E">
            <w:pPr>
              <w:pStyle w:val="ListParagraph"/>
              <w:ind w:left="0"/>
              <w:rPr>
                <w:rFonts w:ascii="Segoe UI" w:hAnsi="Segoe UI" w:cs="Segoe UI"/>
                <w:sz w:val="24"/>
                <w:szCs w:val="24"/>
                <w:lang w:val="en-US"/>
              </w:rPr>
            </w:pPr>
          </w:p>
          <w:p w14:paraId="6817ED43" w14:textId="77777777" w:rsidR="0097379B" w:rsidRPr="007B6616" w:rsidRDefault="0097379B" w:rsidP="00C54C0E">
            <w:pPr>
              <w:pStyle w:val="ListParagraph"/>
              <w:ind w:left="0"/>
              <w:rPr>
                <w:rFonts w:ascii="Segoe UI" w:hAnsi="Segoe UI" w:cs="Segoe UI"/>
                <w:sz w:val="24"/>
                <w:szCs w:val="24"/>
                <w:lang w:val="en-US"/>
              </w:rPr>
            </w:pPr>
          </w:p>
          <w:p w14:paraId="15EC5B1A" w14:textId="77777777" w:rsidR="0097379B" w:rsidRPr="007B6616" w:rsidRDefault="0097379B" w:rsidP="00C54C0E">
            <w:pPr>
              <w:pStyle w:val="ListParagraph"/>
              <w:ind w:left="0"/>
              <w:rPr>
                <w:rFonts w:ascii="Segoe UI" w:hAnsi="Segoe UI" w:cs="Segoe UI"/>
                <w:sz w:val="24"/>
                <w:szCs w:val="24"/>
                <w:lang w:val="en-US"/>
              </w:rPr>
            </w:pPr>
          </w:p>
          <w:p w14:paraId="031C484E" w14:textId="77777777" w:rsidR="0097379B" w:rsidRPr="007B6616" w:rsidRDefault="0097379B" w:rsidP="00C54C0E">
            <w:pPr>
              <w:pStyle w:val="ListParagraph"/>
              <w:ind w:left="0"/>
              <w:rPr>
                <w:rFonts w:ascii="Segoe UI" w:hAnsi="Segoe UI" w:cs="Segoe UI"/>
                <w:sz w:val="24"/>
                <w:szCs w:val="24"/>
                <w:lang w:val="en-US"/>
              </w:rPr>
            </w:pPr>
          </w:p>
          <w:p w14:paraId="1BCBBF9A" w14:textId="77777777" w:rsidR="0097379B" w:rsidRPr="007B6616" w:rsidRDefault="0097379B" w:rsidP="00C54C0E">
            <w:pPr>
              <w:pStyle w:val="ListParagraph"/>
              <w:ind w:left="0"/>
              <w:rPr>
                <w:rFonts w:ascii="Segoe UI" w:hAnsi="Segoe UI" w:cs="Segoe UI"/>
                <w:sz w:val="24"/>
                <w:szCs w:val="24"/>
                <w:lang w:val="en-US"/>
              </w:rPr>
            </w:pPr>
          </w:p>
          <w:p w14:paraId="08D5A990" w14:textId="77777777" w:rsidR="0097379B" w:rsidRPr="007B6616" w:rsidRDefault="0097379B" w:rsidP="00C54C0E">
            <w:pPr>
              <w:pStyle w:val="ListParagraph"/>
              <w:ind w:left="0"/>
              <w:rPr>
                <w:rFonts w:ascii="Segoe UI" w:hAnsi="Segoe UI" w:cs="Segoe UI"/>
                <w:sz w:val="24"/>
                <w:szCs w:val="24"/>
                <w:lang w:val="en-US"/>
              </w:rPr>
            </w:pPr>
          </w:p>
          <w:p w14:paraId="51539731" w14:textId="77777777" w:rsidR="0097379B" w:rsidRPr="007B6616" w:rsidRDefault="0097379B" w:rsidP="00C54C0E">
            <w:pPr>
              <w:pStyle w:val="ListParagraph"/>
              <w:ind w:left="0"/>
              <w:rPr>
                <w:rFonts w:ascii="Segoe UI" w:hAnsi="Segoe UI" w:cs="Segoe UI"/>
                <w:sz w:val="24"/>
                <w:szCs w:val="24"/>
                <w:lang w:val="en-US"/>
              </w:rPr>
            </w:pPr>
          </w:p>
          <w:p w14:paraId="2D50650F" w14:textId="77777777" w:rsidR="0097379B" w:rsidRPr="007B6616" w:rsidRDefault="0097379B" w:rsidP="00C54C0E">
            <w:pPr>
              <w:pStyle w:val="ListParagraph"/>
              <w:ind w:left="0"/>
              <w:rPr>
                <w:rFonts w:ascii="Segoe UI" w:hAnsi="Segoe UI" w:cs="Segoe UI"/>
                <w:sz w:val="24"/>
                <w:szCs w:val="24"/>
                <w:lang w:val="en-US"/>
              </w:rPr>
            </w:pPr>
          </w:p>
          <w:p w14:paraId="7481E701" w14:textId="77777777" w:rsidR="0097379B" w:rsidRPr="007B6616" w:rsidRDefault="0097379B" w:rsidP="00C54C0E">
            <w:pPr>
              <w:pStyle w:val="ListParagraph"/>
              <w:ind w:left="0"/>
              <w:rPr>
                <w:rFonts w:ascii="Segoe UI" w:hAnsi="Segoe UI" w:cs="Segoe UI"/>
                <w:sz w:val="24"/>
                <w:szCs w:val="24"/>
                <w:lang w:val="en-US"/>
              </w:rPr>
            </w:pPr>
          </w:p>
          <w:p w14:paraId="1AE920E7" w14:textId="77777777" w:rsidR="0097379B" w:rsidRPr="007B6616" w:rsidRDefault="0097379B" w:rsidP="00C54C0E">
            <w:pPr>
              <w:pStyle w:val="ListParagraph"/>
              <w:ind w:left="0"/>
              <w:rPr>
                <w:rFonts w:ascii="Segoe UI" w:hAnsi="Segoe UI" w:cs="Segoe UI"/>
                <w:sz w:val="24"/>
                <w:szCs w:val="24"/>
                <w:lang w:val="en-US"/>
              </w:rPr>
            </w:pPr>
          </w:p>
          <w:p w14:paraId="1E52E8FF" w14:textId="77777777" w:rsidR="0097379B" w:rsidRPr="007B6616" w:rsidRDefault="0097379B" w:rsidP="00C54C0E">
            <w:pPr>
              <w:pStyle w:val="ListParagraph"/>
              <w:ind w:left="0"/>
              <w:rPr>
                <w:rFonts w:ascii="Segoe UI" w:hAnsi="Segoe UI" w:cs="Segoe UI"/>
                <w:sz w:val="24"/>
                <w:szCs w:val="24"/>
                <w:lang w:val="en-US"/>
              </w:rPr>
            </w:pPr>
          </w:p>
          <w:p w14:paraId="298F3E7B" w14:textId="77777777" w:rsidR="0097379B" w:rsidRPr="007B6616" w:rsidRDefault="0097379B" w:rsidP="00C54C0E">
            <w:pPr>
              <w:pStyle w:val="ListParagraph"/>
              <w:ind w:left="0"/>
              <w:rPr>
                <w:rFonts w:ascii="Segoe UI" w:hAnsi="Segoe UI" w:cs="Segoe UI"/>
                <w:sz w:val="24"/>
                <w:szCs w:val="24"/>
                <w:lang w:val="en-US"/>
              </w:rPr>
            </w:pPr>
          </w:p>
          <w:p w14:paraId="3E1B3FF9" w14:textId="77777777" w:rsidR="0097379B" w:rsidRPr="007B6616" w:rsidRDefault="0097379B" w:rsidP="00C54C0E">
            <w:pPr>
              <w:pStyle w:val="ListParagraph"/>
              <w:ind w:left="0"/>
              <w:rPr>
                <w:rFonts w:ascii="Segoe UI" w:hAnsi="Segoe UI" w:cs="Segoe UI"/>
                <w:sz w:val="24"/>
                <w:szCs w:val="24"/>
                <w:lang w:val="en-US"/>
              </w:rPr>
            </w:pPr>
          </w:p>
          <w:p w14:paraId="7E39DB7C" w14:textId="13774404"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Waste Inventory and Storage</w:t>
            </w:r>
          </w:p>
        </w:tc>
        <w:tc>
          <w:tcPr>
            <w:tcW w:w="6520" w:type="dxa"/>
          </w:tcPr>
          <w:p w14:paraId="74313DF1" w14:textId="7B71C8B1" w:rsidR="0097379B" w:rsidRPr="007B6616" w:rsidRDefault="0097379B" w:rsidP="00856D3F">
            <w:pPr>
              <w:pStyle w:val="ListParagraph"/>
              <w:numPr>
                <w:ilvl w:val="0"/>
                <w:numId w:val="35"/>
              </w:numPr>
              <w:rPr>
                <w:rFonts w:ascii="Segoe UI" w:hAnsi="Segoe UI" w:cs="Segoe UI"/>
                <w:color w:val="000000"/>
                <w:sz w:val="24"/>
                <w:szCs w:val="24"/>
              </w:rPr>
            </w:pPr>
            <w:r w:rsidRPr="007B6616">
              <w:rPr>
                <w:rFonts w:ascii="Segoe UI" w:hAnsi="Segoe UI" w:cs="Segoe UI"/>
                <w:color w:val="000000"/>
                <w:sz w:val="24"/>
                <w:szCs w:val="24"/>
              </w:rPr>
              <w:t xml:space="preserve">It is disappointing that OPG has not created a decommissioning plan or even a </w:t>
            </w:r>
            <w:r w:rsidR="00BB571A" w:rsidRPr="007B6616">
              <w:rPr>
                <w:rFonts w:ascii="Segoe UI" w:hAnsi="Segoe UI" w:cs="Segoe UI"/>
                <w:color w:val="000000"/>
                <w:sz w:val="24"/>
                <w:szCs w:val="24"/>
              </w:rPr>
              <w:t>preliminary strategy</w:t>
            </w:r>
            <w:r w:rsidRPr="007B6616">
              <w:rPr>
                <w:rFonts w:ascii="Segoe UI" w:hAnsi="Segoe UI" w:cs="Segoe UI"/>
                <w:color w:val="000000"/>
                <w:sz w:val="24"/>
                <w:szCs w:val="24"/>
              </w:rPr>
              <w:t xml:space="preserve"> for the BWRXT reactors/DNNP site. OPG’s own website states “It is imperative that Preliminary Decommissioning Plans (PDP) are put into place for OPG's generating facilities.” </w:t>
            </w:r>
          </w:p>
          <w:p w14:paraId="46B2DC2B" w14:textId="401C4588" w:rsidR="0097379B" w:rsidRPr="007B6616" w:rsidRDefault="0097379B" w:rsidP="00856D3F">
            <w:pPr>
              <w:pStyle w:val="ListParagraph"/>
              <w:numPr>
                <w:ilvl w:val="0"/>
                <w:numId w:val="35"/>
              </w:numPr>
              <w:rPr>
                <w:rFonts w:ascii="Segoe UI" w:hAnsi="Segoe UI" w:cs="Segoe UI"/>
                <w:color w:val="000000"/>
                <w:sz w:val="24"/>
                <w:szCs w:val="24"/>
              </w:rPr>
            </w:pPr>
            <w:r w:rsidRPr="007B6616">
              <w:rPr>
                <w:rFonts w:ascii="Segoe UI" w:hAnsi="Segoe UI" w:cs="Segoe UI"/>
                <w:color w:val="000000"/>
                <w:sz w:val="24"/>
                <w:szCs w:val="24"/>
              </w:rPr>
              <w:t>It is irresponsible to begin a project of this size without a decommissioning strategy, this is a requirement for most major projects on Crown land. Please provide the decommissioning strategy for the BWRXT-300 as soon as it becomes available. It is recommended that a strategy be implemented before any further site-prep is conducted.</w:t>
            </w:r>
          </w:p>
          <w:p w14:paraId="0CA630EA" w14:textId="6D4BCAE4" w:rsidR="0097379B" w:rsidRPr="007B6616" w:rsidRDefault="0097379B" w:rsidP="00856D3F">
            <w:pPr>
              <w:pStyle w:val="ListParagraph"/>
              <w:numPr>
                <w:ilvl w:val="0"/>
                <w:numId w:val="35"/>
              </w:numPr>
              <w:rPr>
                <w:rFonts w:ascii="Segoe UI" w:hAnsi="Segoe UI" w:cs="Segoe UI"/>
                <w:b/>
                <w:bCs/>
                <w:sz w:val="24"/>
                <w:szCs w:val="24"/>
              </w:rPr>
            </w:pPr>
            <w:r w:rsidRPr="007B6616">
              <w:rPr>
                <w:rFonts w:ascii="Segoe UI" w:hAnsi="Segoe UI" w:cs="Segoe UI"/>
                <w:color w:val="000000"/>
                <w:sz w:val="24"/>
                <w:szCs w:val="24"/>
              </w:rPr>
              <w:t xml:space="preserve">It is concerning that the solid waste anticipated to be generated by the BWRXT technology is even higher than initially reported in the EIS. There is still no long-term plan for the safe management and storage of nuclear waste in Ontario, and </w:t>
            </w:r>
            <w:r w:rsidR="003365A3">
              <w:rPr>
                <w:rFonts w:ascii="Segoe UI" w:hAnsi="Segoe UI" w:cs="Segoe UI"/>
                <w:color w:val="000000"/>
                <w:sz w:val="24"/>
                <w:szCs w:val="24"/>
              </w:rPr>
              <w:t xml:space="preserve">Indigenous Nations </w:t>
            </w:r>
            <w:r w:rsidRPr="007B6616">
              <w:rPr>
                <w:rFonts w:ascii="Segoe UI" w:hAnsi="Segoe UI" w:cs="Segoe UI"/>
                <w:color w:val="000000"/>
                <w:sz w:val="24"/>
                <w:szCs w:val="24"/>
              </w:rPr>
              <w:t>must live with the risk of temporarily storing this</w:t>
            </w:r>
            <w:r w:rsidR="00BB571A">
              <w:rPr>
                <w:rFonts w:ascii="Segoe UI" w:hAnsi="Segoe UI" w:cs="Segoe UI"/>
                <w:color w:val="000000"/>
                <w:sz w:val="24"/>
                <w:szCs w:val="24"/>
              </w:rPr>
              <w:t xml:space="preserve"> </w:t>
            </w:r>
            <w:r w:rsidRPr="007B6616">
              <w:rPr>
                <w:rFonts w:ascii="Segoe UI" w:hAnsi="Segoe UI" w:cs="Segoe UI"/>
                <w:color w:val="000000"/>
                <w:sz w:val="24"/>
                <w:szCs w:val="24"/>
              </w:rPr>
              <w:t>excess waste in their Treaty Territory, at the DWMF, without ever providing their consent. This should be considered before construction of the remaining reactors.</w:t>
            </w:r>
          </w:p>
        </w:tc>
      </w:tr>
      <w:tr w:rsidR="0097379B" w:rsidRPr="007B6616" w14:paraId="44CCAF71" w14:textId="77777777" w:rsidTr="007B6616">
        <w:tc>
          <w:tcPr>
            <w:tcW w:w="2830" w:type="dxa"/>
          </w:tcPr>
          <w:p w14:paraId="67393747" w14:textId="77777777"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Practices</w:t>
            </w:r>
          </w:p>
          <w:p w14:paraId="431BA101" w14:textId="77777777" w:rsidR="0097379B" w:rsidRPr="007B6616" w:rsidRDefault="0097379B" w:rsidP="00C54C0E">
            <w:pPr>
              <w:pStyle w:val="ListParagraph"/>
              <w:ind w:left="0"/>
              <w:rPr>
                <w:rFonts w:ascii="Segoe UI" w:hAnsi="Segoe UI" w:cs="Segoe UI"/>
                <w:sz w:val="24"/>
                <w:szCs w:val="24"/>
                <w:lang w:val="en-US"/>
              </w:rPr>
            </w:pPr>
          </w:p>
          <w:p w14:paraId="12EBBF19" w14:textId="77777777" w:rsidR="0097379B" w:rsidRPr="007B6616" w:rsidRDefault="0097379B" w:rsidP="00C54C0E">
            <w:pPr>
              <w:pStyle w:val="ListParagraph"/>
              <w:ind w:left="0"/>
              <w:rPr>
                <w:rFonts w:ascii="Segoe UI" w:hAnsi="Segoe UI" w:cs="Segoe UI"/>
                <w:sz w:val="24"/>
                <w:szCs w:val="24"/>
                <w:lang w:val="en-US"/>
              </w:rPr>
            </w:pPr>
          </w:p>
          <w:p w14:paraId="4CAFF7C1" w14:textId="77777777" w:rsidR="0097379B" w:rsidRPr="007B6616" w:rsidRDefault="0097379B" w:rsidP="00C54C0E">
            <w:pPr>
              <w:pStyle w:val="ListParagraph"/>
              <w:ind w:left="0"/>
              <w:rPr>
                <w:rFonts w:ascii="Segoe UI" w:hAnsi="Segoe UI" w:cs="Segoe UI"/>
                <w:sz w:val="24"/>
                <w:szCs w:val="24"/>
                <w:lang w:val="en-US"/>
              </w:rPr>
            </w:pPr>
          </w:p>
          <w:p w14:paraId="1564DF36" w14:textId="77777777" w:rsidR="0097379B" w:rsidRPr="007B6616" w:rsidRDefault="0097379B" w:rsidP="00C54C0E">
            <w:pPr>
              <w:pStyle w:val="ListParagraph"/>
              <w:ind w:left="0"/>
              <w:rPr>
                <w:rFonts w:ascii="Segoe UI" w:hAnsi="Segoe UI" w:cs="Segoe UI"/>
                <w:sz w:val="24"/>
                <w:szCs w:val="24"/>
                <w:lang w:val="en-US"/>
              </w:rPr>
            </w:pPr>
          </w:p>
          <w:p w14:paraId="2FF1E53C" w14:textId="77777777" w:rsidR="0097379B" w:rsidRPr="007B6616" w:rsidRDefault="0097379B" w:rsidP="00C54C0E">
            <w:pPr>
              <w:pStyle w:val="ListParagraph"/>
              <w:ind w:left="0"/>
              <w:rPr>
                <w:rFonts w:ascii="Segoe UI" w:hAnsi="Segoe UI" w:cs="Segoe UI"/>
                <w:sz w:val="24"/>
                <w:szCs w:val="24"/>
                <w:lang w:val="en-US"/>
              </w:rPr>
            </w:pPr>
          </w:p>
          <w:p w14:paraId="42B4CCA6" w14:textId="77777777" w:rsidR="0097379B" w:rsidRPr="007B6616" w:rsidRDefault="0097379B" w:rsidP="00C54C0E">
            <w:pPr>
              <w:pStyle w:val="ListParagraph"/>
              <w:ind w:left="0"/>
              <w:rPr>
                <w:rFonts w:ascii="Segoe UI" w:hAnsi="Segoe UI" w:cs="Segoe UI"/>
                <w:sz w:val="24"/>
                <w:szCs w:val="24"/>
                <w:lang w:val="en-US"/>
              </w:rPr>
            </w:pPr>
          </w:p>
          <w:p w14:paraId="22040352" w14:textId="77777777" w:rsidR="0097379B" w:rsidRPr="007B6616" w:rsidRDefault="0097379B" w:rsidP="00C54C0E">
            <w:pPr>
              <w:pStyle w:val="ListParagraph"/>
              <w:ind w:left="0"/>
              <w:rPr>
                <w:rFonts w:ascii="Segoe UI" w:hAnsi="Segoe UI" w:cs="Segoe UI"/>
                <w:sz w:val="24"/>
                <w:szCs w:val="24"/>
                <w:lang w:val="en-US"/>
              </w:rPr>
            </w:pPr>
          </w:p>
          <w:p w14:paraId="125DF7A3" w14:textId="77777777" w:rsidR="0097379B" w:rsidRPr="007B6616" w:rsidRDefault="0097379B" w:rsidP="00C54C0E">
            <w:pPr>
              <w:pStyle w:val="ListParagraph"/>
              <w:ind w:left="0"/>
              <w:rPr>
                <w:rFonts w:ascii="Segoe UI" w:hAnsi="Segoe UI" w:cs="Segoe UI"/>
                <w:sz w:val="24"/>
                <w:szCs w:val="24"/>
                <w:lang w:val="en-US"/>
              </w:rPr>
            </w:pPr>
          </w:p>
          <w:p w14:paraId="0D0A780C" w14:textId="77777777" w:rsidR="0097379B" w:rsidRPr="007B6616" w:rsidRDefault="0097379B" w:rsidP="00C54C0E">
            <w:pPr>
              <w:pStyle w:val="ListParagraph"/>
              <w:ind w:left="0"/>
              <w:rPr>
                <w:rFonts w:ascii="Segoe UI" w:hAnsi="Segoe UI" w:cs="Segoe UI"/>
                <w:sz w:val="24"/>
                <w:szCs w:val="24"/>
                <w:lang w:val="en-US"/>
              </w:rPr>
            </w:pPr>
          </w:p>
          <w:p w14:paraId="1712734B" w14:textId="77777777" w:rsidR="0097379B" w:rsidRPr="007B6616" w:rsidRDefault="0097379B" w:rsidP="00C54C0E">
            <w:pPr>
              <w:pStyle w:val="ListParagraph"/>
              <w:ind w:left="0"/>
              <w:rPr>
                <w:rFonts w:ascii="Segoe UI" w:hAnsi="Segoe UI" w:cs="Segoe UI"/>
                <w:sz w:val="24"/>
                <w:szCs w:val="24"/>
                <w:lang w:val="en-US"/>
              </w:rPr>
            </w:pPr>
          </w:p>
          <w:p w14:paraId="0E2DD439" w14:textId="77777777" w:rsidR="0097379B" w:rsidRPr="007B6616" w:rsidRDefault="0097379B" w:rsidP="00C54C0E">
            <w:pPr>
              <w:pStyle w:val="ListParagraph"/>
              <w:ind w:left="0"/>
              <w:rPr>
                <w:rFonts w:ascii="Segoe UI" w:hAnsi="Segoe UI" w:cs="Segoe UI"/>
                <w:sz w:val="24"/>
                <w:szCs w:val="24"/>
                <w:lang w:val="en-US"/>
              </w:rPr>
            </w:pPr>
          </w:p>
          <w:p w14:paraId="3AFDA814" w14:textId="77777777" w:rsidR="0097379B" w:rsidRPr="007B6616" w:rsidRDefault="0097379B" w:rsidP="00C54C0E">
            <w:pPr>
              <w:pStyle w:val="ListParagraph"/>
              <w:ind w:left="0"/>
              <w:rPr>
                <w:rFonts w:ascii="Segoe UI" w:hAnsi="Segoe UI" w:cs="Segoe UI"/>
                <w:sz w:val="24"/>
                <w:szCs w:val="24"/>
                <w:lang w:val="en-US"/>
              </w:rPr>
            </w:pPr>
          </w:p>
          <w:p w14:paraId="34AD4359" w14:textId="77777777" w:rsidR="0097379B" w:rsidRPr="007B6616" w:rsidRDefault="0097379B" w:rsidP="00C54C0E">
            <w:pPr>
              <w:pStyle w:val="ListParagraph"/>
              <w:ind w:left="0"/>
              <w:rPr>
                <w:rFonts w:ascii="Segoe UI" w:hAnsi="Segoe UI" w:cs="Segoe UI"/>
                <w:sz w:val="24"/>
                <w:szCs w:val="24"/>
                <w:lang w:val="en-US"/>
              </w:rPr>
            </w:pPr>
          </w:p>
          <w:p w14:paraId="19D5B90E" w14:textId="77777777" w:rsidR="0097379B" w:rsidRPr="007B6616" w:rsidRDefault="0097379B" w:rsidP="00C54C0E">
            <w:pPr>
              <w:pStyle w:val="ListParagraph"/>
              <w:ind w:left="0"/>
              <w:rPr>
                <w:rFonts w:ascii="Segoe UI" w:hAnsi="Segoe UI" w:cs="Segoe UI"/>
                <w:sz w:val="24"/>
                <w:szCs w:val="24"/>
                <w:lang w:val="en-US"/>
              </w:rPr>
            </w:pPr>
          </w:p>
          <w:p w14:paraId="3EDC9891" w14:textId="77777777" w:rsidR="0097379B" w:rsidRPr="007B6616" w:rsidRDefault="0097379B" w:rsidP="00C54C0E">
            <w:pPr>
              <w:pStyle w:val="ListParagraph"/>
              <w:ind w:left="0"/>
              <w:rPr>
                <w:rFonts w:ascii="Segoe UI" w:hAnsi="Segoe UI" w:cs="Segoe UI"/>
                <w:sz w:val="24"/>
                <w:szCs w:val="24"/>
                <w:lang w:val="en-US"/>
              </w:rPr>
            </w:pPr>
          </w:p>
          <w:p w14:paraId="36A985EC" w14:textId="77777777" w:rsidR="0097379B" w:rsidRPr="007B6616" w:rsidRDefault="0097379B" w:rsidP="00C54C0E">
            <w:pPr>
              <w:pStyle w:val="ListParagraph"/>
              <w:ind w:left="0"/>
              <w:rPr>
                <w:rFonts w:ascii="Segoe UI" w:hAnsi="Segoe UI" w:cs="Segoe UI"/>
                <w:sz w:val="24"/>
                <w:szCs w:val="24"/>
                <w:lang w:val="en-US"/>
              </w:rPr>
            </w:pPr>
          </w:p>
          <w:p w14:paraId="6E5DE0A1" w14:textId="77777777" w:rsidR="0097379B" w:rsidRPr="007B6616" w:rsidRDefault="0097379B" w:rsidP="00C54C0E">
            <w:pPr>
              <w:pStyle w:val="ListParagraph"/>
              <w:ind w:left="0"/>
              <w:rPr>
                <w:rFonts w:ascii="Segoe UI" w:hAnsi="Segoe UI" w:cs="Segoe UI"/>
                <w:sz w:val="24"/>
                <w:szCs w:val="24"/>
                <w:lang w:val="en-US"/>
              </w:rPr>
            </w:pPr>
          </w:p>
          <w:p w14:paraId="0BDE4D13" w14:textId="77777777" w:rsidR="0097379B" w:rsidRPr="007B6616" w:rsidRDefault="0097379B" w:rsidP="00C54C0E">
            <w:pPr>
              <w:pStyle w:val="ListParagraph"/>
              <w:ind w:left="0"/>
              <w:rPr>
                <w:rFonts w:ascii="Segoe UI" w:hAnsi="Segoe UI" w:cs="Segoe UI"/>
                <w:sz w:val="24"/>
                <w:szCs w:val="24"/>
                <w:lang w:val="en-US"/>
              </w:rPr>
            </w:pPr>
          </w:p>
          <w:p w14:paraId="2325FDD1" w14:textId="77777777" w:rsidR="0097379B" w:rsidRPr="007B6616" w:rsidRDefault="0097379B" w:rsidP="00C54C0E">
            <w:pPr>
              <w:pStyle w:val="ListParagraph"/>
              <w:ind w:left="0"/>
              <w:rPr>
                <w:rFonts w:ascii="Segoe UI" w:hAnsi="Segoe UI" w:cs="Segoe UI"/>
                <w:sz w:val="24"/>
                <w:szCs w:val="24"/>
                <w:lang w:val="en-US"/>
              </w:rPr>
            </w:pPr>
          </w:p>
          <w:p w14:paraId="6C0FC498" w14:textId="77777777" w:rsidR="0097379B" w:rsidRPr="007B6616" w:rsidRDefault="0097379B" w:rsidP="00C54C0E">
            <w:pPr>
              <w:pStyle w:val="ListParagraph"/>
              <w:ind w:left="0"/>
              <w:rPr>
                <w:rFonts w:ascii="Segoe UI" w:hAnsi="Segoe UI" w:cs="Segoe UI"/>
                <w:sz w:val="24"/>
                <w:szCs w:val="24"/>
                <w:lang w:val="en-US"/>
              </w:rPr>
            </w:pPr>
          </w:p>
          <w:p w14:paraId="7C96289B" w14:textId="77777777" w:rsidR="0097379B" w:rsidRPr="007B6616" w:rsidRDefault="0097379B" w:rsidP="00C54C0E">
            <w:pPr>
              <w:pStyle w:val="ListParagraph"/>
              <w:ind w:left="0"/>
              <w:rPr>
                <w:rFonts w:ascii="Segoe UI" w:hAnsi="Segoe UI" w:cs="Segoe UI"/>
                <w:sz w:val="24"/>
                <w:szCs w:val="24"/>
                <w:lang w:val="en-US"/>
              </w:rPr>
            </w:pPr>
          </w:p>
          <w:p w14:paraId="5A7BAE21" w14:textId="77777777" w:rsidR="0097379B" w:rsidRPr="007B6616" w:rsidRDefault="0097379B" w:rsidP="00C54C0E">
            <w:pPr>
              <w:pStyle w:val="ListParagraph"/>
              <w:ind w:left="0"/>
              <w:rPr>
                <w:rFonts w:ascii="Segoe UI" w:hAnsi="Segoe UI" w:cs="Segoe UI"/>
                <w:sz w:val="24"/>
                <w:szCs w:val="24"/>
                <w:lang w:val="en-US"/>
              </w:rPr>
            </w:pPr>
          </w:p>
          <w:p w14:paraId="4461F0A4" w14:textId="77777777" w:rsidR="0097379B" w:rsidRPr="007B6616" w:rsidRDefault="0097379B" w:rsidP="00C54C0E">
            <w:pPr>
              <w:pStyle w:val="ListParagraph"/>
              <w:ind w:left="0"/>
              <w:rPr>
                <w:rFonts w:ascii="Segoe UI" w:hAnsi="Segoe UI" w:cs="Segoe UI"/>
                <w:sz w:val="24"/>
                <w:szCs w:val="24"/>
                <w:lang w:val="en-US"/>
              </w:rPr>
            </w:pPr>
          </w:p>
          <w:p w14:paraId="1443CBB2" w14:textId="77777777" w:rsidR="0097379B" w:rsidRPr="007B6616" w:rsidRDefault="0097379B" w:rsidP="00C54C0E">
            <w:pPr>
              <w:pStyle w:val="ListParagraph"/>
              <w:ind w:left="0"/>
              <w:rPr>
                <w:rFonts w:ascii="Segoe UI" w:hAnsi="Segoe UI" w:cs="Segoe UI"/>
                <w:sz w:val="24"/>
                <w:szCs w:val="24"/>
                <w:lang w:val="en-US"/>
              </w:rPr>
            </w:pPr>
          </w:p>
          <w:p w14:paraId="3A5509C9" w14:textId="77777777" w:rsidR="0097379B" w:rsidRPr="007B6616" w:rsidRDefault="0097379B" w:rsidP="00C54C0E">
            <w:pPr>
              <w:pStyle w:val="ListParagraph"/>
              <w:ind w:left="0"/>
              <w:rPr>
                <w:rFonts w:ascii="Segoe UI" w:hAnsi="Segoe UI" w:cs="Segoe UI"/>
                <w:sz w:val="24"/>
                <w:szCs w:val="24"/>
                <w:lang w:val="en-US"/>
              </w:rPr>
            </w:pPr>
          </w:p>
          <w:p w14:paraId="27C91E29" w14:textId="77777777" w:rsidR="0097379B" w:rsidRPr="007B6616" w:rsidRDefault="0097379B" w:rsidP="00C54C0E">
            <w:pPr>
              <w:pStyle w:val="ListParagraph"/>
              <w:ind w:left="0"/>
              <w:rPr>
                <w:rFonts w:ascii="Segoe UI" w:hAnsi="Segoe UI" w:cs="Segoe UI"/>
                <w:sz w:val="24"/>
                <w:szCs w:val="24"/>
                <w:lang w:val="en-US"/>
              </w:rPr>
            </w:pPr>
          </w:p>
          <w:p w14:paraId="5CE8D0EF" w14:textId="77777777" w:rsidR="0097379B" w:rsidRPr="007B6616" w:rsidRDefault="0097379B" w:rsidP="00C54C0E">
            <w:pPr>
              <w:pStyle w:val="ListParagraph"/>
              <w:ind w:left="0"/>
              <w:rPr>
                <w:rFonts w:ascii="Segoe UI" w:hAnsi="Segoe UI" w:cs="Segoe UI"/>
                <w:sz w:val="24"/>
                <w:szCs w:val="24"/>
                <w:lang w:val="en-US"/>
              </w:rPr>
            </w:pPr>
          </w:p>
          <w:p w14:paraId="3A2914E5" w14:textId="77777777" w:rsidR="0097379B" w:rsidRPr="007B6616" w:rsidRDefault="0097379B" w:rsidP="00C54C0E">
            <w:pPr>
              <w:pStyle w:val="ListParagraph"/>
              <w:ind w:left="0"/>
              <w:rPr>
                <w:rFonts w:ascii="Segoe UI" w:hAnsi="Segoe UI" w:cs="Segoe UI"/>
                <w:sz w:val="24"/>
                <w:szCs w:val="24"/>
                <w:lang w:val="en-US"/>
              </w:rPr>
            </w:pPr>
          </w:p>
          <w:p w14:paraId="6501DE4D" w14:textId="77777777" w:rsidR="0097379B" w:rsidRPr="007B6616" w:rsidRDefault="0097379B" w:rsidP="00C54C0E">
            <w:pPr>
              <w:pStyle w:val="ListParagraph"/>
              <w:ind w:left="0"/>
              <w:rPr>
                <w:rFonts w:ascii="Segoe UI" w:hAnsi="Segoe UI" w:cs="Segoe UI"/>
                <w:sz w:val="24"/>
                <w:szCs w:val="24"/>
                <w:lang w:val="en-US"/>
              </w:rPr>
            </w:pPr>
          </w:p>
          <w:p w14:paraId="66645C36" w14:textId="77777777" w:rsidR="0097379B" w:rsidRPr="007B6616" w:rsidRDefault="0097379B" w:rsidP="00C54C0E">
            <w:pPr>
              <w:pStyle w:val="ListParagraph"/>
              <w:ind w:left="0"/>
              <w:rPr>
                <w:rFonts w:ascii="Segoe UI" w:hAnsi="Segoe UI" w:cs="Segoe UI"/>
                <w:sz w:val="24"/>
                <w:szCs w:val="24"/>
                <w:lang w:val="en-US"/>
              </w:rPr>
            </w:pPr>
          </w:p>
          <w:p w14:paraId="308E0847" w14:textId="77777777" w:rsidR="0097379B" w:rsidRPr="007B6616" w:rsidRDefault="0097379B" w:rsidP="00C54C0E">
            <w:pPr>
              <w:pStyle w:val="ListParagraph"/>
              <w:ind w:left="0"/>
              <w:rPr>
                <w:rFonts w:ascii="Segoe UI" w:hAnsi="Segoe UI" w:cs="Segoe UI"/>
                <w:sz w:val="24"/>
                <w:szCs w:val="24"/>
                <w:lang w:val="en-US"/>
              </w:rPr>
            </w:pPr>
          </w:p>
          <w:p w14:paraId="1B074C11" w14:textId="77777777" w:rsidR="0097379B" w:rsidRPr="007B6616" w:rsidRDefault="0097379B" w:rsidP="00C54C0E">
            <w:pPr>
              <w:pStyle w:val="ListParagraph"/>
              <w:ind w:left="0"/>
              <w:rPr>
                <w:rFonts w:ascii="Segoe UI" w:hAnsi="Segoe UI" w:cs="Segoe UI"/>
                <w:sz w:val="24"/>
                <w:szCs w:val="24"/>
                <w:lang w:val="en-US"/>
              </w:rPr>
            </w:pPr>
          </w:p>
          <w:p w14:paraId="075873DF" w14:textId="77777777" w:rsidR="0097379B" w:rsidRPr="007B6616" w:rsidRDefault="0097379B" w:rsidP="00C54C0E">
            <w:pPr>
              <w:pStyle w:val="ListParagraph"/>
              <w:ind w:left="0"/>
              <w:rPr>
                <w:rFonts w:ascii="Segoe UI" w:hAnsi="Segoe UI" w:cs="Segoe UI"/>
                <w:sz w:val="24"/>
                <w:szCs w:val="24"/>
                <w:lang w:val="en-US"/>
              </w:rPr>
            </w:pPr>
          </w:p>
          <w:p w14:paraId="3306C58F" w14:textId="77777777" w:rsidR="0097379B" w:rsidRPr="007B6616" w:rsidRDefault="0097379B" w:rsidP="00C54C0E">
            <w:pPr>
              <w:pStyle w:val="ListParagraph"/>
              <w:ind w:left="0"/>
              <w:rPr>
                <w:rFonts w:ascii="Segoe UI" w:hAnsi="Segoe UI" w:cs="Segoe UI"/>
                <w:sz w:val="24"/>
                <w:szCs w:val="24"/>
                <w:lang w:val="en-US"/>
              </w:rPr>
            </w:pPr>
          </w:p>
          <w:p w14:paraId="2D0EC3AB" w14:textId="77777777"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Volume of Wastes Produced</w:t>
            </w:r>
          </w:p>
          <w:p w14:paraId="6E2367E7" w14:textId="77777777" w:rsidR="0097379B" w:rsidRPr="007B6616" w:rsidRDefault="0097379B" w:rsidP="00C54C0E">
            <w:pPr>
              <w:pStyle w:val="ListParagraph"/>
              <w:ind w:left="0"/>
              <w:rPr>
                <w:rFonts w:ascii="Segoe UI" w:hAnsi="Segoe UI" w:cs="Segoe UI"/>
                <w:sz w:val="24"/>
                <w:szCs w:val="24"/>
                <w:lang w:val="en-US"/>
              </w:rPr>
            </w:pPr>
          </w:p>
          <w:p w14:paraId="02470069" w14:textId="77777777" w:rsidR="0097379B" w:rsidRPr="007B6616" w:rsidRDefault="0097379B" w:rsidP="00C54C0E">
            <w:pPr>
              <w:pStyle w:val="ListParagraph"/>
              <w:ind w:left="0"/>
              <w:rPr>
                <w:rFonts w:ascii="Segoe UI" w:hAnsi="Segoe UI" w:cs="Segoe UI"/>
                <w:sz w:val="24"/>
                <w:szCs w:val="24"/>
                <w:lang w:val="en-US"/>
              </w:rPr>
            </w:pPr>
          </w:p>
          <w:p w14:paraId="60AC6434" w14:textId="77777777" w:rsidR="0097379B" w:rsidRPr="007B6616" w:rsidRDefault="0097379B" w:rsidP="00C54C0E">
            <w:pPr>
              <w:pStyle w:val="ListParagraph"/>
              <w:ind w:left="0"/>
              <w:rPr>
                <w:rFonts w:ascii="Segoe UI" w:hAnsi="Segoe UI" w:cs="Segoe UI"/>
                <w:sz w:val="24"/>
                <w:szCs w:val="24"/>
                <w:lang w:val="en-US"/>
              </w:rPr>
            </w:pPr>
          </w:p>
          <w:p w14:paraId="4D45978D" w14:textId="77777777" w:rsidR="0097379B" w:rsidRPr="007B6616" w:rsidRDefault="0097379B" w:rsidP="00C54C0E">
            <w:pPr>
              <w:pStyle w:val="ListParagraph"/>
              <w:ind w:left="0"/>
              <w:rPr>
                <w:rFonts w:ascii="Segoe UI" w:hAnsi="Segoe UI" w:cs="Segoe UI"/>
                <w:sz w:val="24"/>
                <w:szCs w:val="24"/>
                <w:lang w:val="en-US"/>
              </w:rPr>
            </w:pPr>
          </w:p>
          <w:p w14:paraId="36D374F8" w14:textId="77777777" w:rsidR="0097379B" w:rsidRPr="007B6616" w:rsidRDefault="0097379B" w:rsidP="00C54C0E">
            <w:pPr>
              <w:pStyle w:val="ListParagraph"/>
              <w:ind w:left="0"/>
              <w:rPr>
                <w:rFonts w:ascii="Segoe UI" w:hAnsi="Segoe UI" w:cs="Segoe UI"/>
                <w:sz w:val="24"/>
                <w:szCs w:val="24"/>
                <w:lang w:val="en-US"/>
              </w:rPr>
            </w:pPr>
          </w:p>
          <w:p w14:paraId="1AEE41BB" w14:textId="77777777" w:rsidR="0097379B" w:rsidRPr="007B6616" w:rsidRDefault="0097379B" w:rsidP="00C54C0E">
            <w:pPr>
              <w:pStyle w:val="ListParagraph"/>
              <w:ind w:left="0"/>
              <w:rPr>
                <w:rFonts w:ascii="Segoe UI" w:hAnsi="Segoe UI" w:cs="Segoe UI"/>
                <w:sz w:val="24"/>
                <w:szCs w:val="24"/>
                <w:lang w:val="en-US"/>
              </w:rPr>
            </w:pPr>
          </w:p>
          <w:p w14:paraId="0E96E9E1" w14:textId="77777777" w:rsidR="0097379B" w:rsidRPr="007B6616" w:rsidRDefault="0097379B" w:rsidP="00C54C0E">
            <w:pPr>
              <w:pStyle w:val="ListParagraph"/>
              <w:ind w:left="0"/>
              <w:rPr>
                <w:rFonts w:ascii="Segoe UI" w:hAnsi="Segoe UI" w:cs="Segoe UI"/>
                <w:sz w:val="24"/>
                <w:szCs w:val="24"/>
                <w:lang w:val="en-US"/>
              </w:rPr>
            </w:pPr>
          </w:p>
          <w:p w14:paraId="1680A6B2" w14:textId="77777777" w:rsidR="0097379B" w:rsidRPr="007B6616" w:rsidRDefault="0097379B" w:rsidP="00C54C0E">
            <w:pPr>
              <w:pStyle w:val="ListParagraph"/>
              <w:ind w:left="0"/>
              <w:rPr>
                <w:rFonts w:ascii="Segoe UI" w:hAnsi="Segoe UI" w:cs="Segoe UI"/>
                <w:sz w:val="24"/>
                <w:szCs w:val="24"/>
                <w:lang w:val="en-US"/>
              </w:rPr>
            </w:pPr>
          </w:p>
          <w:p w14:paraId="51A8FBCF" w14:textId="77777777" w:rsidR="0097379B" w:rsidRPr="007B6616" w:rsidRDefault="0097379B" w:rsidP="00C54C0E">
            <w:pPr>
              <w:pStyle w:val="ListParagraph"/>
              <w:ind w:left="0"/>
              <w:rPr>
                <w:rFonts w:ascii="Segoe UI" w:hAnsi="Segoe UI" w:cs="Segoe UI"/>
                <w:sz w:val="24"/>
                <w:szCs w:val="24"/>
                <w:lang w:val="en-US"/>
              </w:rPr>
            </w:pPr>
          </w:p>
          <w:p w14:paraId="2098CCDE" w14:textId="77777777" w:rsidR="0097379B" w:rsidRPr="007B6616" w:rsidRDefault="0097379B" w:rsidP="00C54C0E">
            <w:pPr>
              <w:pStyle w:val="ListParagraph"/>
              <w:ind w:left="0"/>
              <w:rPr>
                <w:rFonts w:ascii="Segoe UI" w:hAnsi="Segoe UI" w:cs="Segoe UI"/>
                <w:sz w:val="24"/>
                <w:szCs w:val="24"/>
                <w:lang w:val="en-US"/>
              </w:rPr>
            </w:pPr>
          </w:p>
          <w:p w14:paraId="6BA6D913" w14:textId="77777777" w:rsidR="0097379B" w:rsidRPr="007B6616" w:rsidRDefault="0097379B" w:rsidP="00C54C0E">
            <w:pPr>
              <w:pStyle w:val="ListParagraph"/>
              <w:ind w:left="0"/>
              <w:rPr>
                <w:rFonts w:ascii="Segoe UI" w:hAnsi="Segoe UI" w:cs="Segoe UI"/>
                <w:sz w:val="24"/>
                <w:szCs w:val="24"/>
                <w:lang w:val="en-US"/>
              </w:rPr>
            </w:pPr>
          </w:p>
          <w:p w14:paraId="62D40F49" w14:textId="77777777" w:rsidR="0097379B" w:rsidRPr="007B6616" w:rsidRDefault="0097379B" w:rsidP="00C54C0E">
            <w:pPr>
              <w:pStyle w:val="ListParagraph"/>
              <w:ind w:left="0"/>
              <w:rPr>
                <w:rFonts w:ascii="Segoe UI" w:hAnsi="Segoe UI" w:cs="Segoe UI"/>
                <w:sz w:val="24"/>
                <w:szCs w:val="24"/>
                <w:lang w:val="en-US"/>
              </w:rPr>
            </w:pPr>
          </w:p>
          <w:p w14:paraId="53CC3E67" w14:textId="77777777" w:rsidR="0097379B" w:rsidRPr="007B6616" w:rsidRDefault="0097379B" w:rsidP="00C54C0E">
            <w:pPr>
              <w:pStyle w:val="ListParagraph"/>
              <w:ind w:left="0"/>
              <w:rPr>
                <w:rFonts w:ascii="Segoe UI" w:hAnsi="Segoe UI" w:cs="Segoe UI"/>
                <w:sz w:val="24"/>
                <w:szCs w:val="24"/>
                <w:lang w:val="en-US"/>
              </w:rPr>
            </w:pPr>
          </w:p>
          <w:p w14:paraId="7FDCD70E" w14:textId="77777777" w:rsidR="0097379B" w:rsidRPr="007B6616" w:rsidRDefault="0097379B" w:rsidP="00C54C0E">
            <w:pPr>
              <w:pStyle w:val="ListParagraph"/>
              <w:ind w:left="0"/>
              <w:rPr>
                <w:rFonts w:ascii="Segoe UI" w:hAnsi="Segoe UI" w:cs="Segoe UI"/>
                <w:sz w:val="24"/>
                <w:szCs w:val="24"/>
                <w:lang w:val="en-US"/>
              </w:rPr>
            </w:pPr>
          </w:p>
          <w:p w14:paraId="0797738B" w14:textId="77777777" w:rsidR="0097379B" w:rsidRPr="007B6616" w:rsidRDefault="0097379B" w:rsidP="00C54C0E">
            <w:pPr>
              <w:pStyle w:val="ListParagraph"/>
              <w:ind w:left="0"/>
              <w:rPr>
                <w:rFonts w:ascii="Segoe UI" w:hAnsi="Segoe UI" w:cs="Segoe UI"/>
                <w:sz w:val="24"/>
                <w:szCs w:val="24"/>
                <w:lang w:val="en-US"/>
              </w:rPr>
            </w:pPr>
          </w:p>
          <w:p w14:paraId="05204247" w14:textId="77777777" w:rsidR="0097379B" w:rsidRPr="007B6616" w:rsidRDefault="0097379B" w:rsidP="00C54C0E">
            <w:pPr>
              <w:pStyle w:val="ListParagraph"/>
              <w:ind w:left="0"/>
              <w:rPr>
                <w:rFonts w:ascii="Segoe UI" w:hAnsi="Segoe UI" w:cs="Segoe UI"/>
                <w:sz w:val="24"/>
                <w:szCs w:val="24"/>
                <w:lang w:val="en-US"/>
              </w:rPr>
            </w:pPr>
          </w:p>
          <w:p w14:paraId="7D9540BA" w14:textId="77777777" w:rsidR="0097379B" w:rsidRPr="007B6616" w:rsidRDefault="0097379B" w:rsidP="00C54C0E">
            <w:pPr>
              <w:pStyle w:val="ListParagraph"/>
              <w:ind w:left="0"/>
              <w:rPr>
                <w:rFonts w:ascii="Segoe UI" w:hAnsi="Segoe UI" w:cs="Segoe UI"/>
                <w:sz w:val="24"/>
                <w:szCs w:val="24"/>
                <w:lang w:val="en-US"/>
              </w:rPr>
            </w:pPr>
          </w:p>
          <w:p w14:paraId="153C18B7" w14:textId="77777777" w:rsidR="0097379B" w:rsidRPr="007B6616" w:rsidRDefault="0097379B" w:rsidP="00C54C0E">
            <w:pPr>
              <w:pStyle w:val="ListParagraph"/>
              <w:ind w:left="0"/>
              <w:rPr>
                <w:rFonts w:ascii="Segoe UI" w:hAnsi="Segoe UI" w:cs="Segoe UI"/>
                <w:sz w:val="24"/>
                <w:szCs w:val="24"/>
                <w:lang w:val="en-US"/>
              </w:rPr>
            </w:pPr>
          </w:p>
          <w:p w14:paraId="61C6A6D6" w14:textId="77777777" w:rsidR="0097379B" w:rsidRPr="007B6616" w:rsidRDefault="0097379B" w:rsidP="00C54C0E">
            <w:pPr>
              <w:pStyle w:val="ListParagraph"/>
              <w:ind w:left="0"/>
              <w:rPr>
                <w:rFonts w:ascii="Segoe UI" w:hAnsi="Segoe UI" w:cs="Segoe UI"/>
                <w:sz w:val="24"/>
                <w:szCs w:val="24"/>
                <w:lang w:val="en-US"/>
              </w:rPr>
            </w:pPr>
          </w:p>
          <w:p w14:paraId="6D0DB89A" w14:textId="77777777" w:rsidR="0097379B" w:rsidRPr="007B6616" w:rsidRDefault="0097379B" w:rsidP="00C54C0E">
            <w:pPr>
              <w:pStyle w:val="ListParagraph"/>
              <w:ind w:left="0"/>
              <w:rPr>
                <w:rFonts w:ascii="Segoe UI" w:hAnsi="Segoe UI" w:cs="Segoe UI"/>
                <w:sz w:val="24"/>
                <w:szCs w:val="24"/>
                <w:lang w:val="en-US"/>
              </w:rPr>
            </w:pPr>
          </w:p>
          <w:p w14:paraId="55F2171B" w14:textId="77777777" w:rsidR="0097379B" w:rsidRPr="007B6616" w:rsidRDefault="0097379B" w:rsidP="00C54C0E">
            <w:pPr>
              <w:pStyle w:val="ListParagraph"/>
              <w:ind w:left="0"/>
              <w:rPr>
                <w:rFonts w:ascii="Segoe UI" w:hAnsi="Segoe UI" w:cs="Segoe UI"/>
                <w:sz w:val="24"/>
                <w:szCs w:val="24"/>
                <w:lang w:val="en-US"/>
              </w:rPr>
            </w:pPr>
          </w:p>
          <w:p w14:paraId="53D6F523" w14:textId="77777777" w:rsidR="0097379B" w:rsidRPr="007B6616" w:rsidRDefault="0097379B" w:rsidP="00C54C0E">
            <w:pPr>
              <w:pStyle w:val="ListParagraph"/>
              <w:ind w:left="0"/>
              <w:rPr>
                <w:rFonts w:ascii="Segoe UI" w:hAnsi="Segoe UI" w:cs="Segoe UI"/>
                <w:sz w:val="24"/>
                <w:szCs w:val="24"/>
                <w:lang w:val="en-US"/>
              </w:rPr>
            </w:pPr>
          </w:p>
          <w:p w14:paraId="721D0C0E" w14:textId="77777777" w:rsidR="0097379B" w:rsidRPr="007B6616" w:rsidRDefault="0097379B" w:rsidP="00C54C0E">
            <w:pPr>
              <w:pStyle w:val="ListParagraph"/>
              <w:ind w:left="0"/>
              <w:rPr>
                <w:rFonts w:ascii="Segoe UI" w:hAnsi="Segoe UI" w:cs="Segoe UI"/>
                <w:sz w:val="24"/>
                <w:szCs w:val="24"/>
                <w:lang w:val="en-US"/>
              </w:rPr>
            </w:pPr>
          </w:p>
          <w:p w14:paraId="2CE5DEC5" w14:textId="77777777" w:rsidR="0097379B" w:rsidRPr="007B6616" w:rsidRDefault="0097379B" w:rsidP="00C54C0E">
            <w:pPr>
              <w:pStyle w:val="ListParagraph"/>
              <w:ind w:left="0"/>
              <w:rPr>
                <w:rFonts w:ascii="Segoe UI" w:hAnsi="Segoe UI" w:cs="Segoe UI"/>
                <w:sz w:val="24"/>
                <w:szCs w:val="24"/>
                <w:lang w:val="en-US"/>
              </w:rPr>
            </w:pPr>
          </w:p>
          <w:p w14:paraId="561410F8" w14:textId="77777777" w:rsidR="0097379B" w:rsidRPr="007B6616" w:rsidRDefault="0097379B" w:rsidP="00C54C0E">
            <w:pPr>
              <w:pStyle w:val="ListParagraph"/>
              <w:ind w:left="0"/>
              <w:rPr>
                <w:rFonts w:ascii="Segoe UI" w:hAnsi="Segoe UI" w:cs="Segoe UI"/>
                <w:sz w:val="24"/>
                <w:szCs w:val="24"/>
                <w:lang w:val="en-US"/>
              </w:rPr>
            </w:pPr>
          </w:p>
          <w:p w14:paraId="3DF9AE06" w14:textId="77777777" w:rsidR="0097379B" w:rsidRPr="007B6616" w:rsidRDefault="0097379B" w:rsidP="00C54C0E">
            <w:pPr>
              <w:pStyle w:val="ListParagraph"/>
              <w:ind w:left="0"/>
              <w:rPr>
                <w:rFonts w:ascii="Segoe UI" w:hAnsi="Segoe UI" w:cs="Segoe UI"/>
                <w:sz w:val="24"/>
                <w:szCs w:val="24"/>
                <w:lang w:val="en-US"/>
              </w:rPr>
            </w:pPr>
          </w:p>
          <w:p w14:paraId="4899202C" w14:textId="77777777" w:rsidR="0097379B" w:rsidRPr="007B6616" w:rsidRDefault="0097379B" w:rsidP="00C54C0E">
            <w:pPr>
              <w:pStyle w:val="ListParagraph"/>
              <w:ind w:left="0"/>
              <w:rPr>
                <w:rFonts w:ascii="Segoe UI" w:hAnsi="Segoe UI" w:cs="Segoe UI"/>
                <w:sz w:val="24"/>
                <w:szCs w:val="24"/>
                <w:lang w:val="en-US"/>
              </w:rPr>
            </w:pPr>
          </w:p>
          <w:p w14:paraId="3FF9878B" w14:textId="77777777" w:rsidR="0097379B" w:rsidRPr="007B6616" w:rsidRDefault="0097379B" w:rsidP="00C54C0E">
            <w:pPr>
              <w:pStyle w:val="ListParagraph"/>
              <w:ind w:left="0"/>
              <w:rPr>
                <w:rFonts w:ascii="Segoe UI" w:hAnsi="Segoe UI" w:cs="Segoe UI"/>
                <w:sz w:val="24"/>
                <w:szCs w:val="24"/>
                <w:lang w:val="en-US"/>
              </w:rPr>
            </w:pPr>
          </w:p>
          <w:p w14:paraId="1FBAACB4" w14:textId="77777777" w:rsidR="0097379B" w:rsidRPr="007B6616" w:rsidRDefault="0097379B" w:rsidP="00C54C0E">
            <w:pPr>
              <w:pStyle w:val="ListParagraph"/>
              <w:ind w:left="0"/>
              <w:rPr>
                <w:rFonts w:ascii="Segoe UI" w:hAnsi="Segoe UI" w:cs="Segoe UI"/>
                <w:sz w:val="24"/>
                <w:szCs w:val="24"/>
                <w:lang w:val="en-US"/>
              </w:rPr>
            </w:pPr>
          </w:p>
          <w:p w14:paraId="6FC2C3BC" w14:textId="77777777" w:rsidR="0097379B" w:rsidRPr="007B6616" w:rsidRDefault="0097379B" w:rsidP="00C54C0E">
            <w:pPr>
              <w:pStyle w:val="ListParagraph"/>
              <w:ind w:left="0"/>
              <w:rPr>
                <w:rFonts w:ascii="Segoe UI" w:hAnsi="Segoe UI" w:cs="Segoe UI"/>
                <w:sz w:val="24"/>
                <w:szCs w:val="24"/>
                <w:lang w:val="en-US"/>
              </w:rPr>
            </w:pPr>
          </w:p>
          <w:p w14:paraId="189F63F1" w14:textId="77777777" w:rsidR="0097379B" w:rsidRPr="007B6616" w:rsidRDefault="0097379B" w:rsidP="00C54C0E">
            <w:pPr>
              <w:pStyle w:val="ListParagraph"/>
              <w:ind w:left="0"/>
              <w:rPr>
                <w:rFonts w:ascii="Segoe UI" w:hAnsi="Segoe UI" w:cs="Segoe UI"/>
                <w:sz w:val="24"/>
                <w:szCs w:val="24"/>
                <w:lang w:val="en-US"/>
              </w:rPr>
            </w:pPr>
          </w:p>
          <w:p w14:paraId="1B6A0AEE" w14:textId="77777777" w:rsidR="0097379B" w:rsidRPr="007B6616" w:rsidRDefault="0097379B" w:rsidP="00C54C0E">
            <w:pPr>
              <w:pStyle w:val="ListParagraph"/>
              <w:ind w:left="0"/>
              <w:rPr>
                <w:rFonts w:ascii="Segoe UI" w:hAnsi="Segoe UI" w:cs="Segoe UI"/>
                <w:sz w:val="24"/>
                <w:szCs w:val="24"/>
                <w:lang w:val="en-US"/>
              </w:rPr>
            </w:pPr>
          </w:p>
          <w:p w14:paraId="710EB685" w14:textId="77777777" w:rsidR="0097379B" w:rsidRPr="007B6616" w:rsidRDefault="0097379B" w:rsidP="00C54C0E">
            <w:pPr>
              <w:pStyle w:val="ListParagraph"/>
              <w:ind w:left="0"/>
              <w:rPr>
                <w:rFonts w:ascii="Segoe UI" w:hAnsi="Segoe UI" w:cs="Segoe UI"/>
                <w:sz w:val="24"/>
                <w:szCs w:val="24"/>
                <w:lang w:val="en-US"/>
              </w:rPr>
            </w:pPr>
          </w:p>
          <w:p w14:paraId="6FDEE31D" w14:textId="1689BB65"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Waste Inventory and Storage</w:t>
            </w:r>
          </w:p>
        </w:tc>
        <w:tc>
          <w:tcPr>
            <w:tcW w:w="6520" w:type="dxa"/>
          </w:tcPr>
          <w:p w14:paraId="4564CFA7" w14:textId="77777777"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The statement in Table 3 in Section 3.6 that “There is no change in the description of waste management practices” is misleading at best; while little information is provided in these documents about the fuel or the waste or their characteristics it is known that the wastes will have different characteristics (for example, a different burnup rate) and different dimensions than CANDU waste, which is the subject of all waste management practices in Ontario at present; so the document may parse the situation to say there is “no change to the description” of waste management practices, but that could only be the case if the ‘description’ was of management practices other than for the current and past wastes generated by OPG reactors; this parsing characterizes the problem with the approach CNSC as adopted, wherein the comparison is being made to an inadequate report about theoretical reactors from over a decade ago, rather than describing the currently proposed reactor in sufficient detail, including the associated and ancillary activities, including and particularly waste generation and management.</w:t>
            </w:r>
          </w:p>
          <w:p w14:paraId="3B41F7AA" w14:textId="77777777"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Section 4.1.4 “Solid Waste and Spent Fuel” states that a) solid waste volumetric activity (</w:t>
            </w:r>
            <w:proofErr w:type="spellStart"/>
            <w:r w:rsidRPr="007B6616">
              <w:rPr>
                <w:rFonts w:ascii="Segoe UI" w:hAnsi="Segoe UI" w:cs="Segoe UI"/>
                <w:color w:val="000000"/>
                <w:sz w:val="24"/>
                <w:szCs w:val="24"/>
              </w:rPr>
              <w:t>Bq</w:t>
            </w:r>
            <w:proofErr w:type="spellEnd"/>
            <w:r w:rsidRPr="007B6616">
              <w:rPr>
                <w:rFonts w:ascii="Segoe UI" w:hAnsi="Segoe UI" w:cs="Segoe UI"/>
                <w:color w:val="000000"/>
                <w:sz w:val="24"/>
                <w:szCs w:val="24"/>
              </w:rPr>
              <w:t>/m3) generated by the operation of the BWRX-300 is higher than what was assessed in the EIS but that there will be equipment changes in response and b) the weight of the cask used to transport the BWRX-300 spent fuel on site (113 tonnes) is heavier than the cask assessed in the EIS, but the roads will be upgraded in response , and then indicates that “there is no impact on the EIS conclusions as a result of these mitigation measures”; insufficient details is included about the waste and the waste containers, but this is far to simplistic a response to be credible; this is another example of why a full examination of the project through a full environmental assessment is required.</w:t>
            </w:r>
          </w:p>
          <w:p w14:paraId="16D5C727" w14:textId="742B46A4"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Section 5.2.8 makes assertions with respect to the volumes of L&amp;ILW and used fuel to be generated from the BWRX-300 being lower and the land area required for used fuel dry storage being smaller than what was assessed in the 2009 EIS but provides no actual information about the fuel, the various wastes, or the dry storage systems; the document should include supporting data, or at least live links to documents which include the supporting data</w:t>
            </w:r>
          </w:p>
          <w:p w14:paraId="13A7BEFD" w14:textId="72C729E6"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 xml:space="preserve">Section 5.2.13 “Operation and Maintenance Phase” includes statements that the BWRX-300 used fuel pool is smaller than what was assessed in the EIS but that the change in capacity is accounted for through the availability to move used fuel earlier and that it is planned that used fuel storage facilities will be available once the BWRX-300 starts operation and that dose consequence due to higher activity will be managed through appropriate cask and shielding design; these statements are not referenced, and no supporting information is provided; several questions arise, include: why will used fuel be moved earlier and how much earlier and to where? Which casks are being referred to in the statement that the higher activity will be managed through cask and shielding design? </w:t>
            </w:r>
            <w:r w:rsidR="009D7B56" w:rsidRPr="007B6616">
              <w:rPr>
                <w:rFonts w:ascii="Segoe UI" w:hAnsi="Segoe UI" w:cs="Segoe UI"/>
                <w:color w:val="000000"/>
                <w:sz w:val="24"/>
                <w:szCs w:val="24"/>
              </w:rPr>
              <w:t>i.e.,</w:t>
            </w:r>
            <w:r w:rsidRPr="007B6616">
              <w:rPr>
                <w:rFonts w:ascii="Segoe UI" w:hAnsi="Segoe UI" w:cs="Segoe UI"/>
                <w:color w:val="000000"/>
                <w:sz w:val="24"/>
                <w:szCs w:val="24"/>
              </w:rPr>
              <w:t xml:space="preserve"> interim dry storage, </w:t>
            </w:r>
            <w:proofErr w:type="gramStart"/>
            <w:r w:rsidRPr="007B6616">
              <w:rPr>
                <w:rFonts w:ascii="Segoe UI" w:hAnsi="Segoe UI" w:cs="Segoe UI"/>
                <w:color w:val="000000"/>
                <w:sz w:val="24"/>
                <w:szCs w:val="24"/>
              </w:rPr>
              <w:t>transportation</w:t>
            </w:r>
            <w:proofErr w:type="gramEnd"/>
            <w:r w:rsidRPr="007B6616">
              <w:rPr>
                <w:rFonts w:ascii="Segoe UI" w:hAnsi="Segoe UI" w:cs="Segoe UI"/>
                <w:color w:val="000000"/>
                <w:sz w:val="24"/>
                <w:szCs w:val="24"/>
              </w:rPr>
              <w:t xml:space="preserve"> or perpetual care casks?</w:t>
            </w:r>
          </w:p>
          <w:p w14:paraId="7E2F74BD" w14:textId="7E7D50C5"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 xml:space="preserve">Figure 5 in Section 3.2 on Conceptual Plant Layout does not identify the location of the various radioactive waste storage facilities; these are listed on page </w:t>
            </w:r>
            <w:r w:rsidR="009D7B56" w:rsidRPr="007B6616">
              <w:rPr>
                <w:rFonts w:ascii="Segoe UI" w:hAnsi="Segoe UI" w:cs="Segoe UI"/>
                <w:color w:val="000000"/>
                <w:sz w:val="24"/>
                <w:szCs w:val="24"/>
              </w:rPr>
              <w:t>17,</w:t>
            </w:r>
            <w:r w:rsidRPr="007B6616">
              <w:rPr>
                <w:rFonts w:ascii="Segoe UI" w:hAnsi="Segoe UI" w:cs="Segoe UI"/>
                <w:color w:val="000000"/>
                <w:sz w:val="24"/>
                <w:szCs w:val="24"/>
              </w:rPr>
              <w:t xml:space="preserve"> but their locations are not identified and there are </w:t>
            </w:r>
            <w:r w:rsidR="009D7B56" w:rsidRPr="007B6616">
              <w:rPr>
                <w:rFonts w:ascii="Segoe UI" w:hAnsi="Segoe UI" w:cs="Segoe UI"/>
                <w:color w:val="000000"/>
                <w:sz w:val="24"/>
                <w:szCs w:val="24"/>
              </w:rPr>
              <w:t>no,</w:t>
            </w:r>
            <w:r w:rsidRPr="007B6616">
              <w:rPr>
                <w:rFonts w:ascii="Segoe UI" w:hAnsi="Segoe UI" w:cs="Segoe UI"/>
                <w:color w:val="000000"/>
                <w:sz w:val="24"/>
                <w:szCs w:val="24"/>
              </w:rPr>
              <w:t xml:space="preserve"> or inadequate descriptions provided.</w:t>
            </w:r>
          </w:p>
          <w:p w14:paraId="4FBD412E" w14:textId="1E5E8FD6"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 xml:space="preserve">Section 3.4 indicates that irradiated fuel and low and intermediate level waste will be stored on the site, but the report does not include a detailed description of liquid, radioactive waste management systems, although a </w:t>
            </w:r>
            <w:r w:rsidR="00BB571A" w:rsidRPr="007B6616">
              <w:rPr>
                <w:rFonts w:ascii="Segoe UI" w:hAnsi="Segoe UI" w:cs="Segoe UI"/>
                <w:color w:val="000000"/>
                <w:sz w:val="24"/>
                <w:szCs w:val="24"/>
              </w:rPr>
              <w:t>generic description</w:t>
            </w:r>
            <w:r w:rsidRPr="007B6616">
              <w:rPr>
                <w:rFonts w:ascii="Segoe UI" w:hAnsi="Segoe UI" w:cs="Segoe UI"/>
                <w:color w:val="000000"/>
                <w:sz w:val="24"/>
                <w:szCs w:val="24"/>
              </w:rPr>
              <w:t xml:space="preserve"> is found in later sections of the report.</w:t>
            </w:r>
          </w:p>
          <w:p w14:paraId="1477EDD0" w14:textId="58777931"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 xml:space="preserve">Section 3.6 states that “There is no change to the description of waste management practices in Ontario. The process in this section applies to the BWRX-300 deployment; L&amp;ILW will also be produced, and will be processed on-site, and shipped to an off- site OPG licensed facility”; while that may very well be the case, the very general statements offer little basis for review and are not a substitute for a detailed description and discussion of radioactive </w:t>
            </w:r>
            <w:r w:rsidR="009D7B56" w:rsidRPr="007B6616">
              <w:rPr>
                <w:rFonts w:ascii="Segoe UI" w:hAnsi="Segoe UI" w:cs="Segoe UI"/>
                <w:color w:val="000000"/>
                <w:sz w:val="24"/>
                <w:szCs w:val="24"/>
              </w:rPr>
              <w:t>wastes.</w:t>
            </w:r>
          </w:p>
          <w:p w14:paraId="50498A47" w14:textId="77777777"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Section 3.7 states that “Management of spent fuel for BWRX-300 will also use an on-site dry storage facility”, but no additional information is provided, such as: how long will the dry cask storage be in operation? What will be the state of the fuel after this period? Are there provisions for repackaging defect fuel assemblies?</w:t>
            </w:r>
          </w:p>
          <w:p w14:paraId="507F6E8B" w14:textId="77777777"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Table 4 similarly makes the assertion that “the description of the on-site dry storage facility in the EIS is applicable to the BWRX-300 deployment; this statement is unsupported by an actual detailed description of the on-site dry storage facility, and would require comparison to a detailed description of dry storage facilities for the 2009 fleet of conceptual reactors; at minimum, a comparison of the BWRX-300 “Radioactive Waste Management Plan”(scheduled for release in Q1 2023) to the 2009 Nuclear Waste TSD would be required, although at this point we cannot be confident that the BWRX-300 “Radioactive Waste Management Plan”(scheduled for release in Q1 2023) will contain sufficient detail and information about dry storage facilities.</w:t>
            </w:r>
          </w:p>
          <w:p w14:paraId="05F2AE5F" w14:textId="77777777"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The BWRX-300 deployment will transport the L&amp;ILW off-site to an OPG licensed facility. The description of the on-site dry storage facility in the EIS is applicable to the BWRX-300 deployment. Again, not much can be said about such statements without more documentation.</w:t>
            </w:r>
          </w:p>
          <w:p w14:paraId="236D3C9D" w14:textId="77777777"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The report states in Section 3.7 that “The volume of L&amp;ILW and used fuel generated from the BWRX-300 deployment over the 60 years of operation is estimated to be less than for the larger reactors assessed in the EIS”; this statement is not consistent with the findings set out in the expert paper Nuclear waste from small modular reactors13 (Krall et al.,2022); this is a key point – do the report authors have actual information to support this questionable statement.</w:t>
            </w:r>
          </w:p>
          <w:p w14:paraId="556839C6" w14:textId="751E3892" w:rsidR="0097379B" w:rsidRPr="007B6616" w:rsidRDefault="0097379B" w:rsidP="00856D3F">
            <w:pPr>
              <w:pStyle w:val="ListParagraph"/>
              <w:numPr>
                <w:ilvl w:val="0"/>
                <w:numId w:val="36"/>
              </w:numPr>
              <w:rPr>
                <w:rFonts w:ascii="Segoe UI" w:hAnsi="Segoe UI" w:cs="Segoe UI"/>
                <w:color w:val="000000"/>
                <w:sz w:val="24"/>
                <w:szCs w:val="24"/>
              </w:rPr>
            </w:pPr>
            <w:r w:rsidRPr="007B6616">
              <w:rPr>
                <w:rFonts w:ascii="Segoe UI" w:hAnsi="Segoe UI" w:cs="Segoe UI"/>
                <w:color w:val="000000"/>
                <w:sz w:val="24"/>
                <w:szCs w:val="24"/>
              </w:rPr>
              <w:t>Section 5.7.2 “Radiological and Transportation Malfunctions and Accidents” describes the BWRX-300 radiological waste as containing different proportions of radionuclides than the waste that was assessed in 2009 EIS, and notes that the mass of fuel placed in the spent fuel transfer cask is different than what had been assessed in the EIS; this section states that the assessment of radiological malfunctions and accidents involving radioactive waste and used nuclear fuel was reanalyzed for the BWRX-300 “using the same scenario as was examined in the EIS” and then goes on to say that the reassessment lead to the same conclusion, but it does not provide any of the supporting data, discussion of documentation; for this and for the other re-evaluations of accidents (e.g. transportation accidents, damage to spent fuel) further information is required; also, in evaluating the probability and consequences of accidents all four of the proposed BWRX-300 reactors should be considered as a system, and this cannot be determined based on the very limited information provided; one of the lessons at Fukushima was that there can be disadvantages to having reactors connected by the same supporting systems and it is not clear from these documents if the systems for each reactor unit are independent or combined; more detail is required in order to assess or review critical assertions on exposure to the public.</w:t>
            </w:r>
          </w:p>
          <w:p w14:paraId="54BBD44F" w14:textId="77777777" w:rsidR="0097379B" w:rsidRPr="007B6616" w:rsidRDefault="0097379B" w:rsidP="00C54C0E">
            <w:pPr>
              <w:pStyle w:val="ListParagraph"/>
              <w:ind w:left="0"/>
              <w:rPr>
                <w:rFonts w:ascii="Segoe UI" w:hAnsi="Segoe UI" w:cs="Segoe UI"/>
                <w:b/>
                <w:bCs/>
                <w:sz w:val="24"/>
                <w:szCs w:val="24"/>
              </w:rPr>
            </w:pPr>
          </w:p>
        </w:tc>
      </w:tr>
      <w:tr w:rsidR="0097379B" w:rsidRPr="007B6616" w14:paraId="2BA0E424" w14:textId="77777777" w:rsidTr="007B6616">
        <w:tc>
          <w:tcPr>
            <w:tcW w:w="2830" w:type="dxa"/>
          </w:tcPr>
          <w:p w14:paraId="161A0EAA" w14:textId="3C24A618"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Decommissioning</w:t>
            </w:r>
          </w:p>
        </w:tc>
        <w:tc>
          <w:tcPr>
            <w:tcW w:w="6520" w:type="dxa"/>
          </w:tcPr>
          <w:p w14:paraId="00B14496" w14:textId="6D5223E3" w:rsidR="0097379B" w:rsidRPr="007B6616" w:rsidRDefault="00BB571A" w:rsidP="00856D3F">
            <w:pPr>
              <w:pStyle w:val="ListParagraph"/>
              <w:numPr>
                <w:ilvl w:val="0"/>
                <w:numId w:val="37"/>
              </w:numPr>
              <w:rPr>
                <w:rFonts w:ascii="Segoe UI" w:hAnsi="Segoe UI" w:cs="Segoe UI"/>
                <w:color w:val="000000"/>
                <w:sz w:val="24"/>
                <w:szCs w:val="24"/>
              </w:rPr>
            </w:pPr>
            <w:r>
              <w:rPr>
                <w:rFonts w:ascii="Segoe UI" w:hAnsi="Segoe UI" w:cs="Segoe UI"/>
                <w:color w:val="000000"/>
                <w:sz w:val="24"/>
                <w:szCs w:val="24"/>
              </w:rPr>
              <w:t>No</w:t>
            </w:r>
            <w:r w:rsidR="0097379B" w:rsidRPr="007B6616">
              <w:rPr>
                <w:rFonts w:ascii="Segoe UI" w:hAnsi="Segoe UI" w:cs="Segoe UI"/>
                <w:color w:val="000000"/>
                <w:sz w:val="24"/>
                <w:szCs w:val="24"/>
              </w:rPr>
              <w:t xml:space="preserve">ted there is a long-term impact of the project on the </w:t>
            </w:r>
            <w:r w:rsidR="009A4E42" w:rsidRPr="007B6616">
              <w:rPr>
                <w:rFonts w:ascii="Segoe UI" w:hAnsi="Segoe UI" w:cs="Segoe UI"/>
                <w:color w:val="000000"/>
                <w:sz w:val="24"/>
                <w:szCs w:val="24"/>
              </w:rPr>
              <w:t>land and</w:t>
            </w:r>
            <w:r w:rsidR="0097379B" w:rsidRPr="007B6616">
              <w:rPr>
                <w:rFonts w:ascii="Segoe UI" w:hAnsi="Segoe UI" w:cs="Segoe UI"/>
                <w:color w:val="000000"/>
                <w:sz w:val="24"/>
                <w:szCs w:val="24"/>
              </w:rPr>
              <w:t xml:space="preserve"> asked who gets the land after it is 'abandoned', and whether it becomes crown land.</w:t>
            </w:r>
          </w:p>
        </w:tc>
      </w:tr>
      <w:tr w:rsidR="0097379B" w:rsidRPr="007B6616" w14:paraId="54070626" w14:textId="77777777" w:rsidTr="007B6616">
        <w:tc>
          <w:tcPr>
            <w:tcW w:w="2830" w:type="dxa"/>
          </w:tcPr>
          <w:p w14:paraId="4BFC1AEC" w14:textId="35324E1A" w:rsidR="0097379B" w:rsidRPr="007B6616" w:rsidRDefault="0097379B" w:rsidP="00C54C0E">
            <w:pPr>
              <w:pStyle w:val="ListParagraph"/>
              <w:ind w:left="0"/>
              <w:rPr>
                <w:rFonts w:ascii="Segoe UI" w:hAnsi="Segoe UI" w:cs="Segoe UI"/>
                <w:sz w:val="24"/>
                <w:szCs w:val="24"/>
                <w:lang w:val="en-US"/>
              </w:rPr>
            </w:pPr>
            <w:r w:rsidRPr="007B6616">
              <w:rPr>
                <w:rFonts w:ascii="Segoe UI" w:hAnsi="Segoe UI" w:cs="Segoe UI"/>
                <w:sz w:val="24"/>
                <w:szCs w:val="24"/>
                <w:lang w:val="en-US"/>
              </w:rPr>
              <w:t>Volume of Wastes Produced</w:t>
            </w:r>
          </w:p>
        </w:tc>
        <w:tc>
          <w:tcPr>
            <w:tcW w:w="6520" w:type="dxa"/>
          </w:tcPr>
          <w:p w14:paraId="21A1B770" w14:textId="09BF42C1" w:rsidR="0097379B" w:rsidRPr="007B6616" w:rsidRDefault="0097379B" w:rsidP="00BB571A">
            <w:pPr>
              <w:pStyle w:val="ListParagraph"/>
              <w:numPr>
                <w:ilvl w:val="0"/>
                <w:numId w:val="37"/>
              </w:numPr>
              <w:rPr>
                <w:rFonts w:ascii="Segoe UI" w:hAnsi="Segoe UI" w:cs="Segoe UI"/>
                <w:b/>
                <w:bCs/>
                <w:sz w:val="24"/>
                <w:szCs w:val="24"/>
              </w:rPr>
            </w:pPr>
            <w:r w:rsidRPr="007B6616">
              <w:rPr>
                <w:rFonts w:ascii="Segoe UI" w:hAnsi="Segoe UI" w:cs="Segoe UI"/>
                <w:color w:val="000000"/>
                <w:sz w:val="24"/>
                <w:szCs w:val="24"/>
              </w:rPr>
              <w:t>OPG asserts BWRX-300 will generate smaller volumes of waste than the reactor</w:t>
            </w:r>
            <w:r w:rsidR="00BB571A">
              <w:rPr>
                <w:rFonts w:ascii="Segoe UI" w:hAnsi="Segoe UI" w:cs="Segoe UI"/>
                <w:color w:val="000000"/>
                <w:sz w:val="24"/>
                <w:szCs w:val="24"/>
              </w:rPr>
              <w:t xml:space="preserve"> </w:t>
            </w:r>
            <w:r w:rsidRPr="007B6616">
              <w:rPr>
                <w:rFonts w:ascii="Segoe UI" w:hAnsi="Segoe UI" w:cs="Segoe UI"/>
                <w:color w:val="000000"/>
                <w:sz w:val="24"/>
                <w:szCs w:val="24"/>
              </w:rPr>
              <w:t>models examined in the initial EIS, and argues this factor indicates a smaller</w:t>
            </w:r>
            <w:r w:rsidRPr="007B6616">
              <w:rPr>
                <w:rFonts w:ascii="Segoe UI" w:hAnsi="Segoe UI" w:cs="Segoe UI"/>
                <w:color w:val="000000"/>
                <w:sz w:val="24"/>
                <w:szCs w:val="24"/>
              </w:rPr>
              <w:br/>
              <w:t>environmental impact.8 However, these wastes have higher radioactivity levels,</w:t>
            </w:r>
            <w:r w:rsidR="00BB571A">
              <w:rPr>
                <w:rFonts w:ascii="Segoe UI" w:hAnsi="Segoe UI" w:cs="Segoe UI"/>
                <w:color w:val="000000"/>
                <w:sz w:val="24"/>
                <w:szCs w:val="24"/>
              </w:rPr>
              <w:t xml:space="preserve"> </w:t>
            </w:r>
            <w:r w:rsidRPr="007B6616">
              <w:rPr>
                <w:rFonts w:ascii="Segoe UI" w:hAnsi="Segoe UI" w:cs="Segoe UI"/>
                <w:color w:val="000000"/>
                <w:sz w:val="24"/>
                <w:szCs w:val="24"/>
              </w:rPr>
              <w:t>than other CANDU wastes at the Darlington site. It is unclear from the 2022 EIS</w:t>
            </w:r>
            <w:r w:rsidRPr="007B6616">
              <w:rPr>
                <w:rFonts w:ascii="Segoe UI" w:hAnsi="Segoe UI" w:cs="Segoe UI"/>
                <w:color w:val="000000"/>
                <w:sz w:val="24"/>
                <w:szCs w:val="24"/>
              </w:rPr>
              <w:br/>
              <w:t>and PPE how this higher activity is taken into consideration when evaluating</w:t>
            </w:r>
            <w:r w:rsidR="00BB571A">
              <w:rPr>
                <w:rFonts w:ascii="Segoe UI" w:hAnsi="Segoe UI" w:cs="Segoe UI"/>
                <w:color w:val="000000"/>
                <w:sz w:val="24"/>
                <w:szCs w:val="24"/>
              </w:rPr>
              <w:t xml:space="preserve"> </w:t>
            </w:r>
            <w:r w:rsidRPr="007B6616">
              <w:rPr>
                <w:rFonts w:ascii="Segoe UI" w:hAnsi="Segoe UI" w:cs="Segoe UI"/>
                <w:color w:val="000000"/>
                <w:sz w:val="24"/>
                <w:szCs w:val="24"/>
              </w:rPr>
              <w:t>impacts and management requirements for spent fuel from the BWRX-300</w:t>
            </w:r>
            <w:r w:rsidR="00BB571A">
              <w:rPr>
                <w:rFonts w:ascii="Segoe UI" w:hAnsi="Segoe UI" w:cs="Segoe UI"/>
                <w:color w:val="000000"/>
                <w:sz w:val="24"/>
                <w:szCs w:val="24"/>
              </w:rPr>
              <w:t xml:space="preserve"> </w:t>
            </w:r>
            <w:r w:rsidRPr="007B6616">
              <w:rPr>
                <w:rFonts w:ascii="Segoe UI" w:hAnsi="Segoe UI" w:cs="Segoe UI"/>
                <w:color w:val="000000"/>
                <w:sz w:val="24"/>
                <w:szCs w:val="24"/>
              </w:rPr>
              <w:t>reactors.</w:t>
            </w:r>
          </w:p>
        </w:tc>
      </w:tr>
    </w:tbl>
    <w:p w14:paraId="3C034D6B" w14:textId="77777777" w:rsidR="007C574B" w:rsidRPr="009827E1" w:rsidRDefault="007C574B" w:rsidP="00C54C0E">
      <w:pPr>
        <w:pStyle w:val="ListParagraph"/>
        <w:ind w:left="0"/>
        <w:rPr>
          <w:rFonts w:ascii="Segoe UI" w:hAnsi="Segoe UI" w:cs="Segoe UI"/>
          <w:b/>
          <w:bCs/>
          <w:sz w:val="24"/>
          <w:szCs w:val="24"/>
          <w:lang w:val="en-US"/>
        </w:rPr>
      </w:pPr>
    </w:p>
    <w:sectPr w:rsidR="007C574B" w:rsidRPr="009827E1">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A2B6" w14:textId="77777777" w:rsidR="000B7710" w:rsidRDefault="000B7710" w:rsidP="00360AC1">
      <w:pPr>
        <w:spacing w:after="0" w:line="240" w:lineRule="auto"/>
      </w:pPr>
      <w:r>
        <w:separator/>
      </w:r>
    </w:p>
  </w:endnote>
  <w:endnote w:type="continuationSeparator" w:id="0">
    <w:p w14:paraId="73678068" w14:textId="77777777" w:rsidR="000B7710" w:rsidRDefault="000B7710" w:rsidP="0036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416232916"/>
      <w:docPartObj>
        <w:docPartGallery w:val="Page Numbers (Bottom of Page)"/>
        <w:docPartUnique/>
      </w:docPartObj>
    </w:sdtPr>
    <w:sdtEndPr>
      <w:rPr>
        <w:noProof/>
      </w:rPr>
    </w:sdtEndPr>
    <w:sdtContent>
      <w:p w14:paraId="5BFCB83D" w14:textId="05A3CB6A" w:rsidR="000B7710" w:rsidRPr="00360AC1" w:rsidRDefault="000B7710">
        <w:pPr>
          <w:pStyle w:val="Footer"/>
          <w:jc w:val="right"/>
          <w:rPr>
            <w:rFonts w:ascii="Segoe UI" w:hAnsi="Segoe UI" w:cs="Segoe UI"/>
          </w:rPr>
        </w:pPr>
        <w:r w:rsidRPr="00360AC1">
          <w:rPr>
            <w:rFonts w:ascii="Segoe UI" w:hAnsi="Segoe UI" w:cs="Segoe UI"/>
          </w:rPr>
          <w:fldChar w:fldCharType="begin"/>
        </w:r>
        <w:r w:rsidRPr="00360AC1">
          <w:rPr>
            <w:rFonts w:ascii="Segoe UI" w:hAnsi="Segoe UI" w:cs="Segoe UI"/>
          </w:rPr>
          <w:instrText xml:space="preserve"> PAGE   \* MERGEFORMAT </w:instrText>
        </w:r>
        <w:r w:rsidRPr="00360AC1">
          <w:rPr>
            <w:rFonts w:ascii="Segoe UI" w:hAnsi="Segoe UI" w:cs="Segoe UI"/>
          </w:rPr>
          <w:fldChar w:fldCharType="separate"/>
        </w:r>
        <w:r w:rsidRPr="00360AC1">
          <w:rPr>
            <w:rFonts w:ascii="Segoe UI" w:hAnsi="Segoe UI" w:cs="Segoe UI"/>
            <w:noProof/>
          </w:rPr>
          <w:t>2</w:t>
        </w:r>
        <w:r w:rsidRPr="00360AC1">
          <w:rPr>
            <w:rFonts w:ascii="Segoe UI" w:hAnsi="Segoe UI" w:cs="Segoe UI"/>
            <w:noProof/>
          </w:rPr>
          <w:fldChar w:fldCharType="end"/>
        </w:r>
      </w:p>
    </w:sdtContent>
  </w:sdt>
  <w:p w14:paraId="3449E2EB" w14:textId="77777777" w:rsidR="000B7710" w:rsidRDefault="000B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80CE" w14:textId="77777777" w:rsidR="000B7710" w:rsidRDefault="000B7710" w:rsidP="00360AC1">
      <w:pPr>
        <w:spacing w:after="0" w:line="240" w:lineRule="auto"/>
      </w:pPr>
      <w:r>
        <w:separator/>
      </w:r>
    </w:p>
  </w:footnote>
  <w:footnote w:type="continuationSeparator" w:id="0">
    <w:p w14:paraId="0C8D0342" w14:textId="77777777" w:rsidR="000B7710" w:rsidRDefault="000B7710" w:rsidP="0036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9756" w14:textId="2307C5D7" w:rsidR="000B7710" w:rsidRPr="00732510" w:rsidRDefault="000B7710" w:rsidP="00732510">
    <w:pPr>
      <w:pStyle w:val="Header"/>
      <w:jc w:val="right"/>
      <w:rPr>
        <w:rFonts w:ascii="Segoe UI" w:hAnsi="Segoe UI" w:cs="Segoe UI"/>
        <w:sz w:val="18"/>
        <w:szCs w:val="18"/>
        <w:lang w:val="en-US"/>
      </w:rPr>
    </w:pPr>
    <w:r>
      <w:rPr>
        <w:rFonts w:ascii="Segoe UI" w:hAnsi="Segoe UI" w:cs="Segoe UI"/>
        <w:sz w:val="18"/>
        <w:szCs w:val="18"/>
        <w:lang w:val="en-US"/>
      </w:rPr>
      <w:t xml:space="preserve">e </w:t>
    </w:r>
    <w:r w:rsidRPr="00732510">
      <w:rPr>
        <w:rFonts w:ascii="Segoe UI" w:hAnsi="Segoe UI" w:cs="Segoe UI"/>
        <w:sz w:val="18"/>
        <w:szCs w:val="18"/>
        <w:lang w:val="en-US"/>
      </w:rPr>
      <w:t>Doc 7024461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0A5"/>
    <w:multiLevelType w:val="hybridMultilevel"/>
    <w:tmpl w:val="068476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A06478"/>
    <w:multiLevelType w:val="hybridMultilevel"/>
    <w:tmpl w:val="17F09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2635AE"/>
    <w:multiLevelType w:val="hybridMultilevel"/>
    <w:tmpl w:val="1ED63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20470"/>
    <w:multiLevelType w:val="hybridMultilevel"/>
    <w:tmpl w:val="53B239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3A74B6"/>
    <w:multiLevelType w:val="hybridMultilevel"/>
    <w:tmpl w:val="5FB0444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D1512"/>
    <w:multiLevelType w:val="hybridMultilevel"/>
    <w:tmpl w:val="2CCE66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0025FEF"/>
    <w:multiLevelType w:val="hybridMultilevel"/>
    <w:tmpl w:val="65AE53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1E25060"/>
    <w:multiLevelType w:val="hybridMultilevel"/>
    <w:tmpl w:val="3F9490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8A474F2"/>
    <w:multiLevelType w:val="hybridMultilevel"/>
    <w:tmpl w:val="CAE437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7D3319"/>
    <w:multiLevelType w:val="hybridMultilevel"/>
    <w:tmpl w:val="B9800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407415"/>
    <w:multiLevelType w:val="hybridMultilevel"/>
    <w:tmpl w:val="858E0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CB3344E"/>
    <w:multiLevelType w:val="hybridMultilevel"/>
    <w:tmpl w:val="9FC613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DA5B59"/>
    <w:multiLevelType w:val="hybridMultilevel"/>
    <w:tmpl w:val="79CAC6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84450A"/>
    <w:multiLevelType w:val="hybridMultilevel"/>
    <w:tmpl w:val="A88A38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4922CB9"/>
    <w:multiLevelType w:val="hybridMultilevel"/>
    <w:tmpl w:val="020CCF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BD1191D"/>
    <w:multiLevelType w:val="hybridMultilevel"/>
    <w:tmpl w:val="5DA0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535E3"/>
    <w:multiLevelType w:val="hybridMultilevel"/>
    <w:tmpl w:val="EC0AEA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C711719"/>
    <w:multiLevelType w:val="hybridMultilevel"/>
    <w:tmpl w:val="8B5480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CF44D5C"/>
    <w:multiLevelType w:val="hybridMultilevel"/>
    <w:tmpl w:val="A4909D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D013DAF"/>
    <w:multiLevelType w:val="multilevel"/>
    <w:tmpl w:val="42E25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677898"/>
    <w:multiLevelType w:val="hybridMultilevel"/>
    <w:tmpl w:val="77E29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DAF5340"/>
    <w:multiLevelType w:val="hybridMultilevel"/>
    <w:tmpl w:val="1CC079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F767D56"/>
    <w:multiLevelType w:val="hybridMultilevel"/>
    <w:tmpl w:val="58D087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925D7"/>
    <w:multiLevelType w:val="hybridMultilevel"/>
    <w:tmpl w:val="2452DE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79A5BD7"/>
    <w:multiLevelType w:val="hybridMultilevel"/>
    <w:tmpl w:val="FC68B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66580C"/>
    <w:multiLevelType w:val="hybridMultilevel"/>
    <w:tmpl w:val="02305E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1616D6C"/>
    <w:multiLevelType w:val="hybridMultilevel"/>
    <w:tmpl w:val="294839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59B01F1"/>
    <w:multiLevelType w:val="hybridMultilevel"/>
    <w:tmpl w:val="4CB423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84660A7"/>
    <w:multiLevelType w:val="hybridMultilevel"/>
    <w:tmpl w:val="5F5A7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90B6D61"/>
    <w:multiLevelType w:val="hybridMultilevel"/>
    <w:tmpl w:val="FD7C3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B4F6900"/>
    <w:multiLevelType w:val="hybridMultilevel"/>
    <w:tmpl w:val="FBFA581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C170E"/>
    <w:multiLevelType w:val="hybridMultilevel"/>
    <w:tmpl w:val="42E47E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D130E2E"/>
    <w:multiLevelType w:val="hybridMultilevel"/>
    <w:tmpl w:val="37A639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71B6442"/>
    <w:multiLevelType w:val="hybridMultilevel"/>
    <w:tmpl w:val="0122F4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58E5839"/>
    <w:multiLevelType w:val="hybridMultilevel"/>
    <w:tmpl w:val="CDDE3D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97F763A"/>
    <w:multiLevelType w:val="hybridMultilevel"/>
    <w:tmpl w:val="A8DA36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9FF1EE0"/>
    <w:multiLevelType w:val="hybridMultilevel"/>
    <w:tmpl w:val="464A03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BC65924"/>
    <w:multiLevelType w:val="hybridMultilevel"/>
    <w:tmpl w:val="EB6410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0D867BC"/>
    <w:multiLevelType w:val="hybridMultilevel"/>
    <w:tmpl w:val="AC2A6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6012C5"/>
    <w:multiLevelType w:val="hybridMultilevel"/>
    <w:tmpl w:val="8138D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2642475"/>
    <w:multiLevelType w:val="hybridMultilevel"/>
    <w:tmpl w:val="8C32DE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3E978D6"/>
    <w:multiLevelType w:val="hybridMultilevel"/>
    <w:tmpl w:val="0AA26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845A3F"/>
    <w:multiLevelType w:val="hybridMultilevel"/>
    <w:tmpl w:val="DF66D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0715C2"/>
    <w:multiLevelType w:val="hybridMultilevel"/>
    <w:tmpl w:val="78446E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B17634A"/>
    <w:multiLevelType w:val="hybridMultilevel"/>
    <w:tmpl w:val="9FD4F2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C243526"/>
    <w:multiLevelType w:val="hybridMultilevel"/>
    <w:tmpl w:val="5CCC58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F855F32"/>
    <w:multiLevelType w:val="hybridMultilevel"/>
    <w:tmpl w:val="04F44A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48545781">
    <w:abstractNumId w:val="9"/>
  </w:num>
  <w:num w:numId="2" w16cid:durableId="1153644891">
    <w:abstractNumId w:val="15"/>
  </w:num>
  <w:num w:numId="3" w16cid:durableId="941692152">
    <w:abstractNumId w:val="35"/>
  </w:num>
  <w:num w:numId="4" w16cid:durableId="771583654">
    <w:abstractNumId w:val="22"/>
  </w:num>
  <w:num w:numId="5" w16cid:durableId="593363435">
    <w:abstractNumId w:val="4"/>
  </w:num>
  <w:num w:numId="6" w16cid:durableId="722828266">
    <w:abstractNumId w:val="30"/>
  </w:num>
  <w:num w:numId="7" w16cid:durableId="1150438191">
    <w:abstractNumId w:val="44"/>
  </w:num>
  <w:num w:numId="8" w16cid:durableId="971522145">
    <w:abstractNumId w:val="12"/>
  </w:num>
  <w:num w:numId="9" w16cid:durableId="120073567">
    <w:abstractNumId w:val="2"/>
  </w:num>
  <w:num w:numId="10" w16cid:durableId="1036541220">
    <w:abstractNumId w:val="5"/>
  </w:num>
  <w:num w:numId="11" w16cid:durableId="1729381766">
    <w:abstractNumId w:val="36"/>
  </w:num>
  <w:num w:numId="12" w16cid:durableId="277296168">
    <w:abstractNumId w:val="40"/>
  </w:num>
  <w:num w:numId="13" w16cid:durableId="1699769912">
    <w:abstractNumId w:val="43"/>
  </w:num>
  <w:num w:numId="14" w16cid:durableId="547885880">
    <w:abstractNumId w:val="10"/>
  </w:num>
  <w:num w:numId="15" w16cid:durableId="2092508179">
    <w:abstractNumId w:val="28"/>
  </w:num>
  <w:num w:numId="16" w16cid:durableId="343361619">
    <w:abstractNumId w:val="0"/>
  </w:num>
  <w:num w:numId="17" w16cid:durableId="1641619337">
    <w:abstractNumId w:val="14"/>
  </w:num>
  <w:num w:numId="18" w16cid:durableId="1678463746">
    <w:abstractNumId w:val="7"/>
  </w:num>
  <w:num w:numId="19" w16cid:durableId="583151176">
    <w:abstractNumId w:val="21"/>
  </w:num>
  <w:num w:numId="20" w16cid:durableId="1739549530">
    <w:abstractNumId w:val="26"/>
  </w:num>
  <w:num w:numId="21" w16cid:durableId="117531997">
    <w:abstractNumId w:val="33"/>
  </w:num>
  <w:num w:numId="22" w16cid:durableId="1129741870">
    <w:abstractNumId w:val="18"/>
  </w:num>
  <w:num w:numId="23" w16cid:durableId="1866555308">
    <w:abstractNumId w:val="45"/>
  </w:num>
  <w:num w:numId="24" w16cid:durableId="926113493">
    <w:abstractNumId w:val="46"/>
  </w:num>
  <w:num w:numId="25" w16cid:durableId="239104714">
    <w:abstractNumId w:val="8"/>
  </w:num>
  <w:num w:numId="26" w16cid:durableId="1142773878">
    <w:abstractNumId w:val="16"/>
  </w:num>
  <w:num w:numId="27" w16cid:durableId="1639451866">
    <w:abstractNumId w:val="31"/>
  </w:num>
  <w:num w:numId="28" w16cid:durableId="90323451">
    <w:abstractNumId w:val="37"/>
  </w:num>
  <w:num w:numId="29" w16cid:durableId="1291788176">
    <w:abstractNumId w:val="25"/>
  </w:num>
  <w:num w:numId="30" w16cid:durableId="890844422">
    <w:abstractNumId w:val="27"/>
  </w:num>
  <w:num w:numId="31" w16cid:durableId="957754684">
    <w:abstractNumId w:val="17"/>
  </w:num>
  <w:num w:numId="32" w16cid:durableId="1101535657">
    <w:abstractNumId w:val="23"/>
  </w:num>
  <w:num w:numId="33" w16cid:durableId="2145809212">
    <w:abstractNumId w:val="32"/>
  </w:num>
  <w:num w:numId="34" w16cid:durableId="2026398418">
    <w:abstractNumId w:val="13"/>
  </w:num>
  <w:num w:numId="35" w16cid:durableId="1297830474">
    <w:abstractNumId w:val="34"/>
  </w:num>
  <w:num w:numId="36" w16cid:durableId="2046515801">
    <w:abstractNumId w:val="6"/>
  </w:num>
  <w:num w:numId="37" w16cid:durableId="1423333629">
    <w:abstractNumId w:val="3"/>
  </w:num>
  <w:num w:numId="38" w16cid:durableId="1689982730">
    <w:abstractNumId w:val="29"/>
  </w:num>
  <w:num w:numId="39" w16cid:durableId="1672105668">
    <w:abstractNumId w:val="20"/>
  </w:num>
  <w:num w:numId="40" w16cid:durableId="453521415">
    <w:abstractNumId w:val="1"/>
  </w:num>
  <w:num w:numId="41" w16cid:durableId="1602958285">
    <w:abstractNumId w:val="38"/>
  </w:num>
  <w:num w:numId="42" w16cid:durableId="2031101802">
    <w:abstractNumId w:val="41"/>
  </w:num>
  <w:num w:numId="43" w16cid:durableId="2001692016">
    <w:abstractNumId w:val="11"/>
  </w:num>
  <w:num w:numId="44" w16cid:durableId="379091377">
    <w:abstractNumId w:val="42"/>
  </w:num>
  <w:num w:numId="45" w16cid:durableId="655258028">
    <w:abstractNumId w:val="24"/>
  </w:num>
  <w:num w:numId="46" w16cid:durableId="2080444942">
    <w:abstractNumId w:val="39"/>
  </w:num>
  <w:num w:numId="47" w16cid:durableId="35350827">
    <w:abstractNumId w:val="19"/>
  </w:num>
  <w:num w:numId="48" w16cid:durableId="10521193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72506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292379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991763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837716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070077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86045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590716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618807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864329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4F"/>
    <w:rsid w:val="00005F2D"/>
    <w:rsid w:val="0001038C"/>
    <w:rsid w:val="00012630"/>
    <w:rsid w:val="000210F2"/>
    <w:rsid w:val="00024FD3"/>
    <w:rsid w:val="00025253"/>
    <w:rsid w:val="00026335"/>
    <w:rsid w:val="00033F69"/>
    <w:rsid w:val="00041FD3"/>
    <w:rsid w:val="00042D33"/>
    <w:rsid w:val="00045475"/>
    <w:rsid w:val="00045B80"/>
    <w:rsid w:val="00055413"/>
    <w:rsid w:val="00060C7D"/>
    <w:rsid w:val="00064AA1"/>
    <w:rsid w:val="00066317"/>
    <w:rsid w:val="00066FFB"/>
    <w:rsid w:val="00076231"/>
    <w:rsid w:val="0007662D"/>
    <w:rsid w:val="00080261"/>
    <w:rsid w:val="00080BBF"/>
    <w:rsid w:val="00083F03"/>
    <w:rsid w:val="000852F7"/>
    <w:rsid w:val="00097041"/>
    <w:rsid w:val="000A43FF"/>
    <w:rsid w:val="000A44AB"/>
    <w:rsid w:val="000A48F5"/>
    <w:rsid w:val="000A5454"/>
    <w:rsid w:val="000A5E59"/>
    <w:rsid w:val="000B3BAB"/>
    <w:rsid w:val="000B7710"/>
    <w:rsid w:val="000C2F48"/>
    <w:rsid w:val="000C35AD"/>
    <w:rsid w:val="000C41B0"/>
    <w:rsid w:val="000C50BE"/>
    <w:rsid w:val="000D137B"/>
    <w:rsid w:val="000D2D2B"/>
    <w:rsid w:val="000E048E"/>
    <w:rsid w:val="000E37A9"/>
    <w:rsid w:val="000E7305"/>
    <w:rsid w:val="000E74EB"/>
    <w:rsid w:val="000F0B91"/>
    <w:rsid w:val="000F545D"/>
    <w:rsid w:val="000F599A"/>
    <w:rsid w:val="000F6A1D"/>
    <w:rsid w:val="000F6A28"/>
    <w:rsid w:val="000F7B47"/>
    <w:rsid w:val="001055A2"/>
    <w:rsid w:val="00112200"/>
    <w:rsid w:val="00117CDE"/>
    <w:rsid w:val="00122C54"/>
    <w:rsid w:val="00130CA0"/>
    <w:rsid w:val="00137F11"/>
    <w:rsid w:val="001407AA"/>
    <w:rsid w:val="00142957"/>
    <w:rsid w:val="0015398A"/>
    <w:rsid w:val="0015439E"/>
    <w:rsid w:val="00160255"/>
    <w:rsid w:val="0016367A"/>
    <w:rsid w:val="00165C61"/>
    <w:rsid w:val="00166A5A"/>
    <w:rsid w:val="001709F1"/>
    <w:rsid w:val="001730CE"/>
    <w:rsid w:val="00183ABB"/>
    <w:rsid w:val="00186825"/>
    <w:rsid w:val="0018799F"/>
    <w:rsid w:val="0019017A"/>
    <w:rsid w:val="00192158"/>
    <w:rsid w:val="00192DA0"/>
    <w:rsid w:val="00193DF3"/>
    <w:rsid w:val="00194703"/>
    <w:rsid w:val="00197D14"/>
    <w:rsid w:val="001A0AE9"/>
    <w:rsid w:val="001A0D53"/>
    <w:rsid w:val="001A25E9"/>
    <w:rsid w:val="001A384E"/>
    <w:rsid w:val="001A4572"/>
    <w:rsid w:val="001A7DD0"/>
    <w:rsid w:val="001B2CA6"/>
    <w:rsid w:val="001B439E"/>
    <w:rsid w:val="001B58F3"/>
    <w:rsid w:val="001B6449"/>
    <w:rsid w:val="001B6C6A"/>
    <w:rsid w:val="001C06C7"/>
    <w:rsid w:val="001C086E"/>
    <w:rsid w:val="001C3142"/>
    <w:rsid w:val="001C594E"/>
    <w:rsid w:val="001C7261"/>
    <w:rsid w:val="001D35C5"/>
    <w:rsid w:val="001E0B98"/>
    <w:rsid w:val="001E62C6"/>
    <w:rsid w:val="001F0E7F"/>
    <w:rsid w:val="001F28A3"/>
    <w:rsid w:val="001F4521"/>
    <w:rsid w:val="001F6827"/>
    <w:rsid w:val="001F71B7"/>
    <w:rsid w:val="002030EA"/>
    <w:rsid w:val="00203E60"/>
    <w:rsid w:val="00204EA2"/>
    <w:rsid w:val="002106E8"/>
    <w:rsid w:val="002217B9"/>
    <w:rsid w:val="002219E9"/>
    <w:rsid w:val="00223ABB"/>
    <w:rsid w:val="00224088"/>
    <w:rsid w:val="00234BEE"/>
    <w:rsid w:val="002352E7"/>
    <w:rsid w:val="0023659C"/>
    <w:rsid w:val="00241A31"/>
    <w:rsid w:val="002439FC"/>
    <w:rsid w:val="002461BC"/>
    <w:rsid w:val="00246F8C"/>
    <w:rsid w:val="00252461"/>
    <w:rsid w:val="00265BA0"/>
    <w:rsid w:val="0026717A"/>
    <w:rsid w:val="00273727"/>
    <w:rsid w:val="00280541"/>
    <w:rsid w:val="002805C2"/>
    <w:rsid w:val="0028349D"/>
    <w:rsid w:val="00291FB0"/>
    <w:rsid w:val="00293FA0"/>
    <w:rsid w:val="002A0CEE"/>
    <w:rsid w:val="002A1E34"/>
    <w:rsid w:val="002A4EE9"/>
    <w:rsid w:val="002B6CF5"/>
    <w:rsid w:val="002C4821"/>
    <w:rsid w:val="002D16AA"/>
    <w:rsid w:val="002D6170"/>
    <w:rsid w:val="002E0DE7"/>
    <w:rsid w:val="002E1AA8"/>
    <w:rsid w:val="002E67CD"/>
    <w:rsid w:val="002E7681"/>
    <w:rsid w:val="002F3374"/>
    <w:rsid w:val="002F4694"/>
    <w:rsid w:val="002F4F62"/>
    <w:rsid w:val="002F62DA"/>
    <w:rsid w:val="002F6A9F"/>
    <w:rsid w:val="0030138F"/>
    <w:rsid w:val="003025F8"/>
    <w:rsid w:val="00310D86"/>
    <w:rsid w:val="003114A4"/>
    <w:rsid w:val="003156A4"/>
    <w:rsid w:val="00316214"/>
    <w:rsid w:val="003165AB"/>
    <w:rsid w:val="00325809"/>
    <w:rsid w:val="00326308"/>
    <w:rsid w:val="00327C71"/>
    <w:rsid w:val="00333865"/>
    <w:rsid w:val="00334A1A"/>
    <w:rsid w:val="0033503E"/>
    <w:rsid w:val="003365A3"/>
    <w:rsid w:val="00337AD2"/>
    <w:rsid w:val="0034326E"/>
    <w:rsid w:val="00344C86"/>
    <w:rsid w:val="00350509"/>
    <w:rsid w:val="00354D53"/>
    <w:rsid w:val="0035588A"/>
    <w:rsid w:val="00360AC1"/>
    <w:rsid w:val="00360C4C"/>
    <w:rsid w:val="003614C7"/>
    <w:rsid w:val="00361B9E"/>
    <w:rsid w:val="00372ED6"/>
    <w:rsid w:val="0037380D"/>
    <w:rsid w:val="00375758"/>
    <w:rsid w:val="00375B63"/>
    <w:rsid w:val="00377045"/>
    <w:rsid w:val="00380634"/>
    <w:rsid w:val="00380E1D"/>
    <w:rsid w:val="00384C15"/>
    <w:rsid w:val="00386C1E"/>
    <w:rsid w:val="003A24C5"/>
    <w:rsid w:val="003B1972"/>
    <w:rsid w:val="003B1A5C"/>
    <w:rsid w:val="003B560C"/>
    <w:rsid w:val="003C054D"/>
    <w:rsid w:val="003C1415"/>
    <w:rsid w:val="003C259D"/>
    <w:rsid w:val="003C7A76"/>
    <w:rsid w:val="003D14FB"/>
    <w:rsid w:val="003D364A"/>
    <w:rsid w:val="003D5025"/>
    <w:rsid w:val="003E2D72"/>
    <w:rsid w:val="003E33AB"/>
    <w:rsid w:val="003E4501"/>
    <w:rsid w:val="003E5D0F"/>
    <w:rsid w:val="003F0124"/>
    <w:rsid w:val="003F5316"/>
    <w:rsid w:val="003F6793"/>
    <w:rsid w:val="0040572D"/>
    <w:rsid w:val="004106C9"/>
    <w:rsid w:val="00411771"/>
    <w:rsid w:val="00415049"/>
    <w:rsid w:val="0041570E"/>
    <w:rsid w:val="0042169F"/>
    <w:rsid w:val="0042241B"/>
    <w:rsid w:val="00422AC6"/>
    <w:rsid w:val="00422DFC"/>
    <w:rsid w:val="0043499C"/>
    <w:rsid w:val="004352DE"/>
    <w:rsid w:val="0043578C"/>
    <w:rsid w:val="00437FCE"/>
    <w:rsid w:val="00443E70"/>
    <w:rsid w:val="004451A3"/>
    <w:rsid w:val="00445B5E"/>
    <w:rsid w:val="00451AEE"/>
    <w:rsid w:val="004552BB"/>
    <w:rsid w:val="0045633D"/>
    <w:rsid w:val="00460F2E"/>
    <w:rsid w:val="004705DB"/>
    <w:rsid w:val="004736E9"/>
    <w:rsid w:val="00477420"/>
    <w:rsid w:val="0047790D"/>
    <w:rsid w:val="00482657"/>
    <w:rsid w:val="0048372D"/>
    <w:rsid w:val="00483E0C"/>
    <w:rsid w:val="00484E25"/>
    <w:rsid w:val="00496C3B"/>
    <w:rsid w:val="004A0FB1"/>
    <w:rsid w:val="004A4D8F"/>
    <w:rsid w:val="004A7405"/>
    <w:rsid w:val="004B1A61"/>
    <w:rsid w:val="004B2CAB"/>
    <w:rsid w:val="004B49C0"/>
    <w:rsid w:val="004B5BBA"/>
    <w:rsid w:val="004B70BF"/>
    <w:rsid w:val="004B7C8A"/>
    <w:rsid w:val="004C1CAE"/>
    <w:rsid w:val="004D2D4C"/>
    <w:rsid w:val="004D59C4"/>
    <w:rsid w:val="004E70C3"/>
    <w:rsid w:val="004F20E8"/>
    <w:rsid w:val="005020CE"/>
    <w:rsid w:val="00502AD0"/>
    <w:rsid w:val="00503824"/>
    <w:rsid w:val="00505713"/>
    <w:rsid w:val="00506CE3"/>
    <w:rsid w:val="00507B6D"/>
    <w:rsid w:val="00513240"/>
    <w:rsid w:val="00513DE2"/>
    <w:rsid w:val="00514A57"/>
    <w:rsid w:val="00515526"/>
    <w:rsid w:val="00515CCA"/>
    <w:rsid w:val="0051685C"/>
    <w:rsid w:val="005241AF"/>
    <w:rsid w:val="00524757"/>
    <w:rsid w:val="00525BAC"/>
    <w:rsid w:val="00526783"/>
    <w:rsid w:val="00530C62"/>
    <w:rsid w:val="005328AD"/>
    <w:rsid w:val="00533AAB"/>
    <w:rsid w:val="00542D1B"/>
    <w:rsid w:val="0055014F"/>
    <w:rsid w:val="00555563"/>
    <w:rsid w:val="0056393F"/>
    <w:rsid w:val="00566AAD"/>
    <w:rsid w:val="005717AD"/>
    <w:rsid w:val="00571EC0"/>
    <w:rsid w:val="00581994"/>
    <w:rsid w:val="0058439F"/>
    <w:rsid w:val="005864DB"/>
    <w:rsid w:val="00587EA1"/>
    <w:rsid w:val="00591BC4"/>
    <w:rsid w:val="005949E3"/>
    <w:rsid w:val="00597208"/>
    <w:rsid w:val="005A1BE1"/>
    <w:rsid w:val="005A2225"/>
    <w:rsid w:val="005A643A"/>
    <w:rsid w:val="005A64B5"/>
    <w:rsid w:val="005A69E6"/>
    <w:rsid w:val="005B09BD"/>
    <w:rsid w:val="005B3C52"/>
    <w:rsid w:val="005B7C01"/>
    <w:rsid w:val="005C1A3E"/>
    <w:rsid w:val="005C364C"/>
    <w:rsid w:val="005D3315"/>
    <w:rsid w:val="005D525E"/>
    <w:rsid w:val="005D7165"/>
    <w:rsid w:val="005E41E3"/>
    <w:rsid w:val="005F0619"/>
    <w:rsid w:val="005F0CA6"/>
    <w:rsid w:val="005F0F90"/>
    <w:rsid w:val="005F5D5F"/>
    <w:rsid w:val="005F5E8F"/>
    <w:rsid w:val="005F69FB"/>
    <w:rsid w:val="006052B0"/>
    <w:rsid w:val="00611EB9"/>
    <w:rsid w:val="00615B67"/>
    <w:rsid w:val="0061699F"/>
    <w:rsid w:val="00621811"/>
    <w:rsid w:val="00622AE3"/>
    <w:rsid w:val="00624C74"/>
    <w:rsid w:val="00626CAD"/>
    <w:rsid w:val="00634DB6"/>
    <w:rsid w:val="0064159F"/>
    <w:rsid w:val="00647292"/>
    <w:rsid w:val="006476E1"/>
    <w:rsid w:val="00654992"/>
    <w:rsid w:val="00657BA0"/>
    <w:rsid w:val="00660407"/>
    <w:rsid w:val="00661268"/>
    <w:rsid w:val="00662316"/>
    <w:rsid w:val="00662531"/>
    <w:rsid w:val="006660BA"/>
    <w:rsid w:val="0067224F"/>
    <w:rsid w:val="0067237E"/>
    <w:rsid w:val="00674F89"/>
    <w:rsid w:val="006755DF"/>
    <w:rsid w:val="00675BCF"/>
    <w:rsid w:val="00677803"/>
    <w:rsid w:val="00681ECE"/>
    <w:rsid w:val="0068370C"/>
    <w:rsid w:val="0068370D"/>
    <w:rsid w:val="0068642B"/>
    <w:rsid w:val="00690B07"/>
    <w:rsid w:val="00694FF7"/>
    <w:rsid w:val="0069667F"/>
    <w:rsid w:val="006A50C4"/>
    <w:rsid w:val="006A65D7"/>
    <w:rsid w:val="006A6CDF"/>
    <w:rsid w:val="006B03AB"/>
    <w:rsid w:val="006B0462"/>
    <w:rsid w:val="006B71DE"/>
    <w:rsid w:val="006C2742"/>
    <w:rsid w:val="006C3400"/>
    <w:rsid w:val="006C5F06"/>
    <w:rsid w:val="006C736F"/>
    <w:rsid w:val="006D0339"/>
    <w:rsid w:val="006D5BBC"/>
    <w:rsid w:val="006E53FC"/>
    <w:rsid w:val="006F0CAB"/>
    <w:rsid w:val="006F5DC0"/>
    <w:rsid w:val="0070222E"/>
    <w:rsid w:val="0070268E"/>
    <w:rsid w:val="00703978"/>
    <w:rsid w:val="00704DF2"/>
    <w:rsid w:val="0070561D"/>
    <w:rsid w:val="0071596B"/>
    <w:rsid w:val="00715B7E"/>
    <w:rsid w:val="007178F7"/>
    <w:rsid w:val="0072441D"/>
    <w:rsid w:val="0072527C"/>
    <w:rsid w:val="00725959"/>
    <w:rsid w:val="00732510"/>
    <w:rsid w:val="00734090"/>
    <w:rsid w:val="00736180"/>
    <w:rsid w:val="00740BDD"/>
    <w:rsid w:val="00741202"/>
    <w:rsid w:val="007531A1"/>
    <w:rsid w:val="00755597"/>
    <w:rsid w:val="007557DE"/>
    <w:rsid w:val="007622D3"/>
    <w:rsid w:val="00772E08"/>
    <w:rsid w:val="007817B1"/>
    <w:rsid w:val="00782E5C"/>
    <w:rsid w:val="007859D9"/>
    <w:rsid w:val="0078729D"/>
    <w:rsid w:val="00787F25"/>
    <w:rsid w:val="00790F54"/>
    <w:rsid w:val="00791E78"/>
    <w:rsid w:val="00795C19"/>
    <w:rsid w:val="007A1E84"/>
    <w:rsid w:val="007A4F8C"/>
    <w:rsid w:val="007A70AD"/>
    <w:rsid w:val="007B0373"/>
    <w:rsid w:val="007B31C9"/>
    <w:rsid w:val="007B40B2"/>
    <w:rsid w:val="007B6616"/>
    <w:rsid w:val="007C08E4"/>
    <w:rsid w:val="007C45B0"/>
    <w:rsid w:val="007C574B"/>
    <w:rsid w:val="007C6570"/>
    <w:rsid w:val="007C67E0"/>
    <w:rsid w:val="007C6A24"/>
    <w:rsid w:val="007D00C9"/>
    <w:rsid w:val="007D04CB"/>
    <w:rsid w:val="007D3079"/>
    <w:rsid w:val="007D4124"/>
    <w:rsid w:val="007D6D57"/>
    <w:rsid w:val="007D6E80"/>
    <w:rsid w:val="007E2142"/>
    <w:rsid w:val="007E3523"/>
    <w:rsid w:val="007E4833"/>
    <w:rsid w:val="007F0D4B"/>
    <w:rsid w:val="007F1860"/>
    <w:rsid w:val="007F3F43"/>
    <w:rsid w:val="008031B4"/>
    <w:rsid w:val="00804EEC"/>
    <w:rsid w:val="008076A3"/>
    <w:rsid w:val="00815DD8"/>
    <w:rsid w:val="008163A0"/>
    <w:rsid w:val="00820D11"/>
    <w:rsid w:val="00825A5D"/>
    <w:rsid w:val="008353F2"/>
    <w:rsid w:val="00836148"/>
    <w:rsid w:val="00841960"/>
    <w:rsid w:val="0084262E"/>
    <w:rsid w:val="0085280D"/>
    <w:rsid w:val="0085329D"/>
    <w:rsid w:val="00856D3F"/>
    <w:rsid w:val="008579E9"/>
    <w:rsid w:val="008656BE"/>
    <w:rsid w:val="00870935"/>
    <w:rsid w:val="008755E2"/>
    <w:rsid w:val="008762F4"/>
    <w:rsid w:val="00876D03"/>
    <w:rsid w:val="00882A37"/>
    <w:rsid w:val="00890540"/>
    <w:rsid w:val="00890579"/>
    <w:rsid w:val="00890ABC"/>
    <w:rsid w:val="0089334A"/>
    <w:rsid w:val="00893CE3"/>
    <w:rsid w:val="00893E8B"/>
    <w:rsid w:val="008A1BBA"/>
    <w:rsid w:val="008A1D7B"/>
    <w:rsid w:val="008A3678"/>
    <w:rsid w:val="008A453D"/>
    <w:rsid w:val="008A64FE"/>
    <w:rsid w:val="008B101F"/>
    <w:rsid w:val="008B109B"/>
    <w:rsid w:val="008B7468"/>
    <w:rsid w:val="008B750A"/>
    <w:rsid w:val="008C2C00"/>
    <w:rsid w:val="008C2FF0"/>
    <w:rsid w:val="008C3408"/>
    <w:rsid w:val="008C749E"/>
    <w:rsid w:val="008D2B8F"/>
    <w:rsid w:val="008E0D81"/>
    <w:rsid w:val="008E24F6"/>
    <w:rsid w:val="008E2C0C"/>
    <w:rsid w:val="008E3EF2"/>
    <w:rsid w:val="008E70AE"/>
    <w:rsid w:val="008E74A6"/>
    <w:rsid w:val="008E79F3"/>
    <w:rsid w:val="008F1B1E"/>
    <w:rsid w:val="00901D40"/>
    <w:rsid w:val="00904344"/>
    <w:rsid w:val="00914CFE"/>
    <w:rsid w:val="00915035"/>
    <w:rsid w:val="00915641"/>
    <w:rsid w:val="0091754C"/>
    <w:rsid w:val="00921E6C"/>
    <w:rsid w:val="00922BBC"/>
    <w:rsid w:val="00927CDE"/>
    <w:rsid w:val="00927F66"/>
    <w:rsid w:val="009347B3"/>
    <w:rsid w:val="00937A9F"/>
    <w:rsid w:val="00946AB3"/>
    <w:rsid w:val="00956C82"/>
    <w:rsid w:val="00965786"/>
    <w:rsid w:val="00970494"/>
    <w:rsid w:val="009728EE"/>
    <w:rsid w:val="0097379B"/>
    <w:rsid w:val="00977EDA"/>
    <w:rsid w:val="009827E1"/>
    <w:rsid w:val="0098336A"/>
    <w:rsid w:val="0099113C"/>
    <w:rsid w:val="009916CF"/>
    <w:rsid w:val="00993EE3"/>
    <w:rsid w:val="0099482E"/>
    <w:rsid w:val="00996E18"/>
    <w:rsid w:val="009A019C"/>
    <w:rsid w:val="009A23CD"/>
    <w:rsid w:val="009A3AF5"/>
    <w:rsid w:val="009A4675"/>
    <w:rsid w:val="009A4745"/>
    <w:rsid w:val="009A4E42"/>
    <w:rsid w:val="009B057E"/>
    <w:rsid w:val="009C402A"/>
    <w:rsid w:val="009C618B"/>
    <w:rsid w:val="009D27D7"/>
    <w:rsid w:val="009D548A"/>
    <w:rsid w:val="009D786D"/>
    <w:rsid w:val="009D7B56"/>
    <w:rsid w:val="009E0BC2"/>
    <w:rsid w:val="009E3D14"/>
    <w:rsid w:val="009E424B"/>
    <w:rsid w:val="009E5170"/>
    <w:rsid w:val="009E758A"/>
    <w:rsid w:val="009E77DA"/>
    <w:rsid w:val="009F2F2E"/>
    <w:rsid w:val="009F4067"/>
    <w:rsid w:val="00A00808"/>
    <w:rsid w:val="00A00F18"/>
    <w:rsid w:val="00A02264"/>
    <w:rsid w:val="00A02A0E"/>
    <w:rsid w:val="00A03894"/>
    <w:rsid w:val="00A04A96"/>
    <w:rsid w:val="00A05B5B"/>
    <w:rsid w:val="00A0678D"/>
    <w:rsid w:val="00A067B1"/>
    <w:rsid w:val="00A10959"/>
    <w:rsid w:val="00A1432B"/>
    <w:rsid w:val="00A154B7"/>
    <w:rsid w:val="00A16E23"/>
    <w:rsid w:val="00A20C3B"/>
    <w:rsid w:val="00A20FC8"/>
    <w:rsid w:val="00A23839"/>
    <w:rsid w:val="00A3465F"/>
    <w:rsid w:val="00A4082C"/>
    <w:rsid w:val="00A41BA6"/>
    <w:rsid w:val="00A438BE"/>
    <w:rsid w:val="00A44197"/>
    <w:rsid w:val="00A44E82"/>
    <w:rsid w:val="00A450C8"/>
    <w:rsid w:val="00A47013"/>
    <w:rsid w:val="00A47476"/>
    <w:rsid w:val="00A540EA"/>
    <w:rsid w:val="00A559ED"/>
    <w:rsid w:val="00A6797D"/>
    <w:rsid w:val="00A67B1D"/>
    <w:rsid w:val="00A705A0"/>
    <w:rsid w:val="00A712D3"/>
    <w:rsid w:val="00A71C82"/>
    <w:rsid w:val="00A7641D"/>
    <w:rsid w:val="00A851A8"/>
    <w:rsid w:val="00A85616"/>
    <w:rsid w:val="00A96C54"/>
    <w:rsid w:val="00A97A44"/>
    <w:rsid w:val="00A97C33"/>
    <w:rsid w:val="00AA287F"/>
    <w:rsid w:val="00AB27F9"/>
    <w:rsid w:val="00AB285E"/>
    <w:rsid w:val="00AC2708"/>
    <w:rsid w:val="00AC6E25"/>
    <w:rsid w:val="00AD6318"/>
    <w:rsid w:val="00AD688E"/>
    <w:rsid w:val="00AE7DD4"/>
    <w:rsid w:val="00AF1756"/>
    <w:rsid w:val="00AF192F"/>
    <w:rsid w:val="00AF58EF"/>
    <w:rsid w:val="00AF6105"/>
    <w:rsid w:val="00B01167"/>
    <w:rsid w:val="00B07CA1"/>
    <w:rsid w:val="00B105BA"/>
    <w:rsid w:val="00B10B31"/>
    <w:rsid w:val="00B143AC"/>
    <w:rsid w:val="00B154E3"/>
    <w:rsid w:val="00B16896"/>
    <w:rsid w:val="00B20457"/>
    <w:rsid w:val="00B21407"/>
    <w:rsid w:val="00B26E3D"/>
    <w:rsid w:val="00B30491"/>
    <w:rsid w:val="00B3254E"/>
    <w:rsid w:val="00B41962"/>
    <w:rsid w:val="00B42311"/>
    <w:rsid w:val="00B45C46"/>
    <w:rsid w:val="00B46FDF"/>
    <w:rsid w:val="00B53DC6"/>
    <w:rsid w:val="00B55A23"/>
    <w:rsid w:val="00B608A7"/>
    <w:rsid w:val="00B62145"/>
    <w:rsid w:val="00B62CE7"/>
    <w:rsid w:val="00B65F0A"/>
    <w:rsid w:val="00B709B9"/>
    <w:rsid w:val="00B70A01"/>
    <w:rsid w:val="00B72933"/>
    <w:rsid w:val="00B849BC"/>
    <w:rsid w:val="00B84E81"/>
    <w:rsid w:val="00B8705B"/>
    <w:rsid w:val="00B91B65"/>
    <w:rsid w:val="00B94EA0"/>
    <w:rsid w:val="00BB1C87"/>
    <w:rsid w:val="00BB2124"/>
    <w:rsid w:val="00BB3F97"/>
    <w:rsid w:val="00BB571A"/>
    <w:rsid w:val="00BC0B70"/>
    <w:rsid w:val="00BC0DE1"/>
    <w:rsid w:val="00BC75C8"/>
    <w:rsid w:val="00BD0793"/>
    <w:rsid w:val="00BD23AD"/>
    <w:rsid w:val="00BD303E"/>
    <w:rsid w:val="00BD4039"/>
    <w:rsid w:val="00BD5FBF"/>
    <w:rsid w:val="00BE59F8"/>
    <w:rsid w:val="00BF2621"/>
    <w:rsid w:val="00BF436D"/>
    <w:rsid w:val="00BF6F52"/>
    <w:rsid w:val="00C0027B"/>
    <w:rsid w:val="00C0102B"/>
    <w:rsid w:val="00C01B76"/>
    <w:rsid w:val="00C0306A"/>
    <w:rsid w:val="00C04849"/>
    <w:rsid w:val="00C073A7"/>
    <w:rsid w:val="00C07BF3"/>
    <w:rsid w:val="00C110DC"/>
    <w:rsid w:val="00C150DB"/>
    <w:rsid w:val="00C15CAD"/>
    <w:rsid w:val="00C206BE"/>
    <w:rsid w:val="00C214C1"/>
    <w:rsid w:val="00C22191"/>
    <w:rsid w:val="00C26608"/>
    <w:rsid w:val="00C3196F"/>
    <w:rsid w:val="00C3227C"/>
    <w:rsid w:val="00C44B42"/>
    <w:rsid w:val="00C45C78"/>
    <w:rsid w:val="00C5079E"/>
    <w:rsid w:val="00C54C0E"/>
    <w:rsid w:val="00C61608"/>
    <w:rsid w:val="00C61D6A"/>
    <w:rsid w:val="00C65073"/>
    <w:rsid w:val="00C6758C"/>
    <w:rsid w:val="00C75A1D"/>
    <w:rsid w:val="00C76507"/>
    <w:rsid w:val="00C81D7D"/>
    <w:rsid w:val="00C81EFD"/>
    <w:rsid w:val="00C825CB"/>
    <w:rsid w:val="00CA0A6B"/>
    <w:rsid w:val="00CA2ADD"/>
    <w:rsid w:val="00CA2CE7"/>
    <w:rsid w:val="00CA4228"/>
    <w:rsid w:val="00CA5E9B"/>
    <w:rsid w:val="00CB161A"/>
    <w:rsid w:val="00CB36EF"/>
    <w:rsid w:val="00CC0316"/>
    <w:rsid w:val="00CC0F93"/>
    <w:rsid w:val="00CC19A9"/>
    <w:rsid w:val="00CC54E1"/>
    <w:rsid w:val="00CD1FB5"/>
    <w:rsid w:val="00CD2FC7"/>
    <w:rsid w:val="00CE19E0"/>
    <w:rsid w:val="00CE5BFD"/>
    <w:rsid w:val="00CE6B91"/>
    <w:rsid w:val="00CE7B5B"/>
    <w:rsid w:val="00CF06CB"/>
    <w:rsid w:val="00CF0E42"/>
    <w:rsid w:val="00CF28A6"/>
    <w:rsid w:val="00CF2A42"/>
    <w:rsid w:val="00D0036D"/>
    <w:rsid w:val="00D017B4"/>
    <w:rsid w:val="00D0475C"/>
    <w:rsid w:val="00D238C5"/>
    <w:rsid w:val="00D277F0"/>
    <w:rsid w:val="00D318B2"/>
    <w:rsid w:val="00D31BEC"/>
    <w:rsid w:val="00D35034"/>
    <w:rsid w:val="00D37AB6"/>
    <w:rsid w:val="00D40D88"/>
    <w:rsid w:val="00D47073"/>
    <w:rsid w:val="00D47198"/>
    <w:rsid w:val="00D50A9F"/>
    <w:rsid w:val="00D515FB"/>
    <w:rsid w:val="00D5241F"/>
    <w:rsid w:val="00D5268B"/>
    <w:rsid w:val="00D604F5"/>
    <w:rsid w:val="00D60D70"/>
    <w:rsid w:val="00D613EC"/>
    <w:rsid w:val="00D64815"/>
    <w:rsid w:val="00D66A5D"/>
    <w:rsid w:val="00D76C1A"/>
    <w:rsid w:val="00D81036"/>
    <w:rsid w:val="00D8496B"/>
    <w:rsid w:val="00D873E8"/>
    <w:rsid w:val="00D92011"/>
    <w:rsid w:val="00D97020"/>
    <w:rsid w:val="00DA32FE"/>
    <w:rsid w:val="00DA6F2A"/>
    <w:rsid w:val="00DA7D2B"/>
    <w:rsid w:val="00DC21C2"/>
    <w:rsid w:val="00DC2BDB"/>
    <w:rsid w:val="00DC63C1"/>
    <w:rsid w:val="00DC6D7E"/>
    <w:rsid w:val="00DD0FDA"/>
    <w:rsid w:val="00DD461D"/>
    <w:rsid w:val="00DD7AFA"/>
    <w:rsid w:val="00DE49DD"/>
    <w:rsid w:val="00DF03FC"/>
    <w:rsid w:val="00DF085A"/>
    <w:rsid w:val="00DF1DDE"/>
    <w:rsid w:val="00E04149"/>
    <w:rsid w:val="00E06544"/>
    <w:rsid w:val="00E070EC"/>
    <w:rsid w:val="00E12B50"/>
    <w:rsid w:val="00E12F49"/>
    <w:rsid w:val="00E158F5"/>
    <w:rsid w:val="00E238EC"/>
    <w:rsid w:val="00E23CFD"/>
    <w:rsid w:val="00E30636"/>
    <w:rsid w:val="00E334DF"/>
    <w:rsid w:val="00E35034"/>
    <w:rsid w:val="00E353EB"/>
    <w:rsid w:val="00E402CA"/>
    <w:rsid w:val="00E436A6"/>
    <w:rsid w:val="00E51E31"/>
    <w:rsid w:val="00E54EB2"/>
    <w:rsid w:val="00E555E6"/>
    <w:rsid w:val="00E557B7"/>
    <w:rsid w:val="00E600EA"/>
    <w:rsid w:val="00E6693F"/>
    <w:rsid w:val="00E76B09"/>
    <w:rsid w:val="00E846E4"/>
    <w:rsid w:val="00E85AF3"/>
    <w:rsid w:val="00E90573"/>
    <w:rsid w:val="00E92B8A"/>
    <w:rsid w:val="00E9388A"/>
    <w:rsid w:val="00E93B31"/>
    <w:rsid w:val="00EA229D"/>
    <w:rsid w:val="00EA51B2"/>
    <w:rsid w:val="00EB291E"/>
    <w:rsid w:val="00EB3DA7"/>
    <w:rsid w:val="00EB41A3"/>
    <w:rsid w:val="00EB6534"/>
    <w:rsid w:val="00EC0CEE"/>
    <w:rsid w:val="00EC2C8E"/>
    <w:rsid w:val="00EC7A42"/>
    <w:rsid w:val="00ED2030"/>
    <w:rsid w:val="00ED2DF4"/>
    <w:rsid w:val="00ED68C2"/>
    <w:rsid w:val="00ED703D"/>
    <w:rsid w:val="00ED712F"/>
    <w:rsid w:val="00EE359E"/>
    <w:rsid w:val="00EF4A83"/>
    <w:rsid w:val="00EF611A"/>
    <w:rsid w:val="00EF7DE9"/>
    <w:rsid w:val="00EF7DF3"/>
    <w:rsid w:val="00F01A44"/>
    <w:rsid w:val="00F05440"/>
    <w:rsid w:val="00F0732E"/>
    <w:rsid w:val="00F0761D"/>
    <w:rsid w:val="00F11E17"/>
    <w:rsid w:val="00F16184"/>
    <w:rsid w:val="00F22791"/>
    <w:rsid w:val="00F22E60"/>
    <w:rsid w:val="00F4446B"/>
    <w:rsid w:val="00F45EB7"/>
    <w:rsid w:val="00F4685B"/>
    <w:rsid w:val="00F56B7D"/>
    <w:rsid w:val="00F60745"/>
    <w:rsid w:val="00F60D91"/>
    <w:rsid w:val="00F61058"/>
    <w:rsid w:val="00F64838"/>
    <w:rsid w:val="00F70228"/>
    <w:rsid w:val="00F7254A"/>
    <w:rsid w:val="00F73D0C"/>
    <w:rsid w:val="00F803F3"/>
    <w:rsid w:val="00F812A5"/>
    <w:rsid w:val="00F84DA8"/>
    <w:rsid w:val="00F86816"/>
    <w:rsid w:val="00F90CDE"/>
    <w:rsid w:val="00F95339"/>
    <w:rsid w:val="00FA1571"/>
    <w:rsid w:val="00FA1AC1"/>
    <w:rsid w:val="00FA4B49"/>
    <w:rsid w:val="00FA7AEC"/>
    <w:rsid w:val="00FB42E1"/>
    <w:rsid w:val="00FB59BE"/>
    <w:rsid w:val="00FC1039"/>
    <w:rsid w:val="00FC38FE"/>
    <w:rsid w:val="00FC5747"/>
    <w:rsid w:val="00FE060F"/>
    <w:rsid w:val="00FE0CFE"/>
    <w:rsid w:val="00FE2713"/>
    <w:rsid w:val="00FE288A"/>
    <w:rsid w:val="00FE6BA4"/>
    <w:rsid w:val="00FE6E88"/>
    <w:rsid w:val="00FF34FB"/>
    <w:rsid w:val="00FF549F"/>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BBC2"/>
  <w15:chartTrackingRefBased/>
  <w15:docId w15:val="{3548D0BB-56F5-4360-A51F-1E539111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D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3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468"/>
    <w:pPr>
      <w:ind w:left="720"/>
      <w:contextualSpacing/>
    </w:pPr>
  </w:style>
  <w:style w:type="character" w:customStyle="1" w:styleId="ui-provider">
    <w:name w:val="ui-provider"/>
    <w:basedOn w:val="DefaultParagraphFont"/>
    <w:rsid w:val="008B7468"/>
  </w:style>
  <w:style w:type="character" w:styleId="Hyperlink">
    <w:name w:val="Hyperlink"/>
    <w:basedOn w:val="DefaultParagraphFont"/>
    <w:uiPriority w:val="99"/>
    <w:unhideWhenUsed/>
    <w:rsid w:val="008B7468"/>
    <w:rPr>
      <w:color w:val="0563C1" w:themeColor="hyperlink"/>
      <w:u w:val="single"/>
    </w:rPr>
  </w:style>
  <w:style w:type="character" w:styleId="UnresolvedMention">
    <w:name w:val="Unresolved Mention"/>
    <w:basedOn w:val="DefaultParagraphFont"/>
    <w:uiPriority w:val="99"/>
    <w:semiHidden/>
    <w:unhideWhenUsed/>
    <w:rsid w:val="008B7468"/>
    <w:rPr>
      <w:color w:val="605E5C"/>
      <w:shd w:val="clear" w:color="auto" w:fill="E1DFDD"/>
    </w:rPr>
  </w:style>
  <w:style w:type="character" w:customStyle="1" w:styleId="Heading1Char">
    <w:name w:val="Heading 1 Char"/>
    <w:basedOn w:val="DefaultParagraphFont"/>
    <w:link w:val="Heading1"/>
    <w:uiPriority w:val="9"/>
    <w:rsid w:val="00F73D0C"/>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locked/>
    <w:rsid w:val="00F95339"/>
  </w:style>
  <w:style w:type="character" w:customStyle="1" w:styleId="Heading2Char">
    <w:name w:val="Heading 2 Char"/>
    <w:basedOn w:val="DefaultParagraphFont"/>
    <w:link w:val="Heading2"/>
    <w:uiPriority w:val="9"/>
    <w:rsid w:val="00F9533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6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C1"/>
  </w:style>
  <w:style w:type="paragraph" w:styleId="Footer">
    <w:name w:val="footer"/>
    <w:basedOn w:val="Normal"/>
    <w:link w:val="FooterChar"/>
    <w:uiPriority w:val="99"/>
    <w:unhideWhenUsed/>
    <w:rsid w:val="0036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C1"/>
  </w:style>
  <w:style w:type="table" w:styleId="TableGrid">
    <w:name w:val="Table Grid"/>
    <w:basedOn w:val="TableNormal"/>
    <w:rsid w:val="00A1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A1095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A1095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A1095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A1095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217B9"/>
    <w:rPr>
      <w:sz w:val="16"/>
      <w:szCs w:val="16"/>
    </w:rPr>
  </w:style>
  <w:style w:type="paragraph" w:styleId="CommentText">
    <w:name w:val="annotation text"/>
    <w:basedOn w:val="Normal"/>
    <w:link w:val="CommentTextChar"/>
    <w:uiPriority w:val="99"/>
    <w:unhideWhenUsed/>
    <w:rsid w:val="002217B9"/>
    <w:pPr>
      <w:spacing w:line="240" w:lineRule="auto"/>
    </w:pPr>
    <w:rPr>
      <w:sz w:val="20"/>
      <w:szCs w:val="20"/>
    </w:rPr>
  </w:style>
  <w:style w:type="character" w:customStyle="1" w:styleId="CommentTextChar">
    <w:name w:val="Comment Text Char"/>
    <w:basedOn w:val="DefaultParagraphFont"/>
    <w:link w:val="CommentText"/>
    <w:uiPriority w:val="99"/>
    <w:rsid w:val="002217B9"/>
    <w:rPr>
      <w:sz w:val="20"/>
      <w:szCs w:val="20"/>
    </w:rPr>
  </w:style>
  <w:style w:type="paragraph" w:styleId="CommentSubject">
    <w:name w:val="annotation subject"/>
    <w:basedOn w:val="CommentText"/>
    <w:next w:val="CommentText"/>
    <w:link w:val="CommentSubjectChar"/>
    <w:uiPriority w:val="99"/>
    <w:semiHidden/>
    <w:unhideWhenUsed/>
    <w:rsid w:val="002217B9"/>
    <w:rPr>
      <w:b/>
      <w:bCs/>
    </w:rPr>
  </w:style>
  <w:style w:type="character" w:customStyle="1" w:styleId="CommentSubjectChar">
    <w:name w:val="Comment Subject Char"/>
    <w:basedOn w:val="CommentTextChar"/>
    <w:link w:val="CommentSubject"/>
    <w:uiPriority w:val="99"/>
    <w:semiHidden/>
    <w:rsid w:val="002217B9"/>
    <w:rPr>
      <w:b/>
      <w:bCs/>
      <w:sz w:val="20"/>
      <w:szCs w:val="20"/>
    </w:rPr>
  </w:style>
  <w:style w:type="character" w:styleId="FollowedHyperlink">
    <w:name w:val="FollowedHyperlink"/>
    <w:basedOn w:val="DefaultParagraphFont"/>
    <w:uiPriority w:val="99"/>
    <w:semiHidden/>
    <w:unhideWhenUsed/>
    <w:rsid w:val="00B154E3"/>
    <w:rPr>
      <w:color w:val="954F72" w:themeColor="followedHyperlink"/>
      <w:u w:val="single"/>
    </w:rPr>
  </w:style>
  <w:style w:type="paragraph" w:styleId="BalloonText">
    <w:name w:val="Balloon Text"/>
    <w:basedOn w:val="Normal"/>
    <w:link w:val="BalloonTextChar"/>
    <w:uiPriority w:val="99"/>
    <w:semiHidden/>
    <w:unhideWhenUsed/>
    <w:rsid w:val="00836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148"/>
    <w:rPr>
      <w:rFonts w:ascii="Segoe UI" w:hAnsi="Segoe UI" w:cs="Segoe UI"/>
      <w:sz w:val="18"/>
      <w:szCs w:val="18"/>
    </w:rPr>
  </w:style>
  <w:style w:type="paragraph" w:styleId="Revision">
    <w:name w:val="Revision"/>
    <w:hidden/>
    <w:uiPriority w:val="99"/>
    <w:semiHidden/>
    <w:rsid w:val="008A3678"/>
    <w:pPr>
      <w:spacing w:after="0" w:line="240" w:lineRule="auto"/>
    </w:pPr>
  </w:style>
  <w:style w:type="paragraph" w:customStyle="1" w:styleId="BodyTextCMD">
    <w:name w:val="BodyTextCMD"/>
    <w:link w:val="BodyTextCMDChar"/>
    <w:rsid w:val="00E92B8A"/>
    <w:pPr>
      <w:spacing w:before="120" w:after="120" w:line="240" w:lineRule="auto"/>
    </w:pPr>
    <w:rPr>
      <w:rFonts w:ascii="Times New Roman" w:eastAsia="Times New Roman" w:hAnsi="Times New Roman" w:cs="Times New Roman"/>
      <w:sz w:val="24"/>
      <w:szCs w:val="24"/>
      <w:lang w:val="en-US"/>
    </w:rPr>
  </w:style>
  <w:style w:type="character" w:customStyle="1" w:styleId="BodyTextCMDChar">
    <w:name w:val="BodyTextCMD Char"/>
    <w:link w:val="BodyTextCMD"/>
    <w:rsid w:val="00E92B8A"/>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E92B8A"/>
    <w:pPr>
      <w:spacing w:after="200" w:line="240" w:lineRule="auto"/>
    </w:pPr>
    <w:rPr>
      <w:rFonts w:ascii="Times New Roman" w:eastAsia="Times New Roman" w:hAnsi="Times New Roman"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025">
      <w:bodyDiv w:val="1"/>
      <w:marLeft w:val="0"/>
      <w:marRight w:val="0"/>
      <w:marTop w:val="0"/>
      <w:marBottom w:val="0"/>
      <w:divBdr>
        <w:top w:val="none" w:sz="0" w:space="0" w:color="auto"/>
        <w:left w:val="none" w:sz="0" w:space="0" w:color="auto"/>
        <w:bottom w:val="none" w:sz="0" w:space="0" w:color="auto"/>
        <w:right w:val="none" w:sz="0" w:space="0" w:color="auto"/>
      </w:divBdr>
    </w:div>
    <w:div w:id="32778997">
      <w:bodyDiv w:val="1"/>
      <w:marLeft w:val="0"/>
      <w:marRight w:val="0"/>
      <w:marTop w:val="0"/>
      <w:marBottom w:val="0"/>
      <w:divBdr>
        <w:top w:val="none" w:sz="0" w:space="0" w:color="auto"/>
        <w:left w:val="none" w:sz="0" w:space="0" w:color="auto"/>
        <w:bottom w:val="none" w:sz="0" w:space="0" w:color="auto"/>
        <w:right w:val="none" w:sz="0" w:space="0" w:color="auto"/>
      </w:divBdr>
    </w:div>
    <w:div w:id="36466308">
      <w:bodyDiv w:val="1"/>
      <w:marLeft w:val="0"/>
      <w:marRight w:val="0"/>
      <w:marTop w:val="0"/>
      <w:marBottom w:val="0"/>
      <w:divBdr>
        <w:top w:val="none" w:sz="0" w:space="0" w:color="auto"/>
        <w:left w:val="none" w:sz="0" w:space="0" w:color="auto"/>
        <w:bottom w:val="none" w:sz="0" w:space="0" w:color="auto"/>
        <w:right w:val="none" w:sz="0" w:space="0" w:color="auto"/>
      </w:divBdr>
    </w:div>
    <w:div w:id="38095191">
      <w:bodyDiv w:val="1"/>
      <w:marLeft w:val="0"/>
      <w:marRight w:val="0"/>
      <w:marTop w:val="0"/>
      <w:marBottom w:val="0"/>
      <w:divBdr>
        <w:top w:val="none" w:sz="0" w:space="0" w:color="auto"/>
        <w:left w:val="none" w:sz="0" w:space="0" w:color="auto"/>
        <w:bottom w:val="none" w:sz="0" w:space="0" w:color="auto"/>
        <w:right w:val="none" w:sz="0" w:space="0" w:color="auto"/>
      </w:divBdr>
    </w:div>
    <w:div w:id="39330864">
      <w:bodyDiv w:val="1"/>
      <w:marLeft w:val="0"/>
      <w:marRight w:val="0"/>
      <w:marTop w:val="0"/>
      <w:marBottom w:val="0"/>
      <w:divBdr>
        <w:top w:val="none" w:sz="0" w:space="0" w:color="auto"/>
        <w:left w:val="none" w:sz="0" w:space="0" w:color="auto"/>
        <w:bottom w:val="none" w:sz="0" w:space="0" w:color="auto"/>
        <w:right w:val="none" w:sz="0" w:space="0" w:color="auto"/>
      </w:divBdr>
    </w:div>
    <w:div w:id="42676513">
      <w:bodyDiv w:val="1"/>
      <w:marLeft w:val="0"/>
      <w:marRight w:val="0"/>
      <w:marTop w:val="0"/>
      <w:marBottom w:val="0"/>
      <w:divBdr>
        <w:top w:val="none" w:sz="0" w:space="0" w:color="auto"/>
        <w:left w:val="none" w:sz="0" w:space="0" w:color="auto"/>
        <w:bottom w:val="none" w:sz="0" w:space="0" w:color="auto"/>
        <w:right w:val="none" w:sz="0" w:space="0" w:color="auto"/>
      </w:divBdr>
    </w:div>
    <w:div w:id="67315984">
      <w:bodyDiv w:val="1"/>
      <w:marLeft w:val="0"/>
      <w:marRight w:val="0"/>
      <w:marTop w:val="0"/>
      <w:marBottom w:val="0"/>
      <w:divBdr>
        <w:top w:val="none" w:sz="0" w:space="0" w:color="auto"/>
        <w:left w:val="none" w:sz="0" w:space="0" w:color="auto"/>
        <w:bottom w:val="none" w:sz="0" w:space="0" w:color="auto"/>
        <w:right w:val="none" w:sz="0" w:space="0" w:color="auto"/>
      </w:divBdr>
    </w:div>
    <w:div w:id="77213612">
      <w:bodyDiv w:val="1"/>
      <w:marLeft w:val="0"/>
      <w:marRight w:val="0"/>
      <w:marTop w:val="0"/>
      <w:marBottom w:val="0"/>
      <w:divBdr>
        <w:top w:val="none" w:sz="0" w:space="0" w:color="auto"/>
        <w:left w:val="none" w:sz="0" w:space="0" w:color="auto"/>
        <w:bottom w:val="none" w:sz="0" w:space="0" w:color="auto"/>
        <w:right w:val="none" w:sz="0" w:space="0" w:color="auto"/>
      </w:divBdr>
    </w:div>
    <w:div w:id="104352634">
      <w:bodyDiv w:val="1"/>
      <w:marLeft w:val="0"/>
      <w:marRight w:val="0"/>
      <w:marTop w:val="0"/>
      <w:marBottom w:val="0"/>
      <w:divBdr>
        <w:top w:val="none" w:sz="0" w:space="0" w:color="auto"/>
        <w:left w:val="none" w:sz="0" w:space="0" w:color="auto"/>
        <w:bottom w:val="none" w:sz="0" w:space="0" w:color="auto"/>
        <w:right w:val="none" w:sz="0" w:space="0" w:color="auto"/>
      </w:divBdr>
    </w:div>
    <w:div w:id="105662805">
      <w:bodyDiv w:val="1"/>
      <w:marLeft w:val="0"/>
      <w:marRight w:val="0"/>
      <w:marTop w:val="0"/>
      <w:marBottom w:val="0"/>
      <w:divBdr>
        <w:top w:val="none" w:sz="0" w:space="0" w:color="auto"/>
        <w:left w:val="none" w:sz="0" w:space="0" w:color="auto"/>
        <w:bottom w:val="none" w:sz="0" w:space="0" w:color="auto"/>
        <w:right w:val="none" w:sz="0" w:space="0" w:color="auto"/>
      </w:divBdr>
    </w:div>
    <w:div w:id="111749391">
      <w:bodyDiv w:val="1"/>
      <w:marLeft w:val="0"/>
      <w:marRight w:val="0"/>
      <w:marTop w:val="0"/>
      <w:marBottom w:val="0"/>
      <w:divBdr>
        <w:top w:val="none" w:sz="0" w:space="0" w:color="auto"/>
        <w:left w:val="none" w:sz="0" w:space="0" w:color="auto"/>
        <w:bottom w:val="none" w:sz="0" w:space="0" w:color="auto"/>
        <w:right w:val="none" w:sz="0" w:space="0" w:color="auto"/>
      </w:divBdr>
    </w:div>
    <w:div w:id="118187183">
      <w:bodyDiv w:val="1"/>
      <w:marLeft w:val="0"/>
      <w:marRight w:val="0"/>
      <w:marTop w:val="0"/>
      <w:marBottom w:val="0"/>
      <w:divBdr>
        <w:top w:val="none" w:sz="0" w:space="0" w:color="auto"/>
        <w:left w:val="none" w:sz="0" w:space="0" w:color="auto"/>
        <w:bottom w:val="none" w:sz="0" w:space="0" w:color="auto"/>
        <w:right w:val="none" w:sz="0" w:space="0" w:color="auto"/>
      </w:divBdr>
    </w:div>
    <w:div w:id="127364760">
      <w:bodyDiv w:val="1"/>
      <w:marLeft w:val="0"/>
      <w:marRight w:val="0"/>
      <w:marTop w:val="0"/>
      <w:marBottom w:val="0"/>
      <w:divBdr>
        <w:top w:val="none" w:sz="0" w:space="0" w:color="auto"/>
        <w:left w:val="none" w:sz="0" w:space="0" w:color="auto"/>
        <w:bottom w:val="none" w:sz="0" w:space="0" w:color="auto"/>
        <w:right w:val="none" w:sz="0" w:space="0" w:color="auto"/>
      </w:divBdr>
    </w:div>
    <w:div w:id="140779942">
      <w:bodyDiv w:val="1"/>
      <w:marLeft w:val="0"/>
      <w:marRight w:val="0"/>
      <w:marTop w:val="0"/>
      <w:marBottom w:val="0"/>
      <w:divBdr>
        <w:top w:val="none" w:sz="0" w:space="0" w:color="auto"/>
        <w:left w:val="none" w:sz="0" w:space="0" w:color="auto"/>
        <w:bottom w:val="none" w:sz="0" w:space="0" w:color="auto"/>
        <w:right w:val="none" w:sz="0" w:space="0" w:color="auto"/>
      </w:divBdr>
    </w:div>
    <w:div w:id="141778068">
      <w:bodyDiv w:val="1"/>
      <w:marLeft w:val="0"/>
      <w:marRight w:val="0"/>
      <w:marTop w:val="0"/>
      <w:marBottom w:val="0"/>
      <w:divBdr>
        <w:top w:val="none" w:sz="0" w:space="0" w:color="auto"/>
        <w:left w:val="none" w:sz="0" w:space="0" w:color="auto"/>
        <w:bottom w:val="none" w:sz="0" w:space="0" w:color="auto"/>
        <w:right w:val="none" w:sz="0" w:space="0" w:color="auto"/>
      </w:divBdr>
    </w:div>
    <w:div w:id="162163409">
      <w:bodyDiv w:val="1"/>
      <w:marLeft w:val="0"/>
      <w:marRight w:val="0"/>
      <w:marTop w:val="0"/>
      <w:marBottom w:val="0"/>
      <w:divBdr>
        <w:top w:val="none" w:sz="0" w:space="0" w:color="auto"/>
        <w:left w:val="none" w:sz="0" w:space="0" w:color="auto"/>
        <w:bottom w:val="none" w:sz="0" w:space="0" w:color="auto"/>
        <w:right w:val="none" w:sz="0" w:space="0" w:color="auto"/>
      </w:divBdr>
    </w:div>
    <w:div w:id="199318128">
      <w:bodyDiv w:val="1"/>
      <w:marLeft w:val="0"/>
      <w:marRight w:val="0"/>
      <w:marTop w:val="0"/>
      <w:marBottom w:val="0"/>
      <w:divBdr>
        <w:top w:val="none" w:sz="0" w:space="0" w:color="auto"/>
        <w:left w:val="none" w:sz="0" w:space="0" w:color="auto"/>
        <w:bottom w:val="none" w:sz="0" w:space="0" w:color="auto"/>
        <w:right w:val="none" w:sz="0" w:space="0" w:color="auto"/>
      </w:divBdr>
    </w:div>
    <w:div w:id="216017728">
      <w:bodyDiv w:val="1"/>
      <w:marLeft w:val="0"/>
      <w:marRight w:val="0"/>
      <w:marTop w:val="0"/>
      <w:marBottom w:val="0"/>
      <w:divBdr>
        <w:top w:val="none" w:sz="0" w:space="0" w:color="auto"/>
        <w:left w:val="none" w:sz="0" w:space="0" w:color="auto"/>
        <w:bottom w:val="none" w:sz="0" w:space="0" w:color="auto"/>
        <w:right w:val="none" w:sz="0" w:space="0" w:color="auto"/>
      </w:divBdr>
    </w:div>
    <w:div w:id="243301566">
      <w:bodyDiv w:val="1"/>
      <w:marLeft w:val="0"/>
      <w:marRight w:val="0"/>
      <w:marTop w:val="0"/>
      <w:marBottom w:val="0"/>
      <w:divBdr>
        <w:top w:val="none" w:sz="0" w:space="0" w:color="auto"/>
        <w:left w:val="none" w:sz="0" w:space="0" w:color="auto"/>
        <w:bottom w:val="none" w:sz="0" w:space="0" w:color="auto"/>
        <w:right w:val="none" w:sz="0" w:space="0" w:color="auto"/>
      </w:divBdr>
    </w:div>
    <w:div w:id="244649494">
      <w:bodyDiv w:val="1"/>
      <w:marLeft w:val="0"/>
      <w:marRight w:val="0"/>
      <w:marTop w:val="0"/>
      <w:marBottom w:val="0"/>
      <w:divBdr>
        <w:top w:val="none" w:sz="0" w:space="0" w:color="auto"/>
        <w:left w:val="none" w:sz="0" w:space="0" w:color="auto"/>
        <w:bottom w:val="none" w:sz="0" w:space="0" w:color="auto"/>
        <w:right w:val="none" w:sz="0" w:space="0" w:color="auto"/>
      </w:divBdr>
    </w:div>
    <w:div w:id="267204413">
      <w:bodyDiv w:val="1"/>
      <w:marLeft w:val="0"/>
      <w:marRight w:val="0"/>
      <w:marTop w:val="0"/>
      <w:marBottom w:val="0"/>
      <w:divBdr>
        <w:top w:val="none" w:sz="0" w:space="0" w:color="auto"/>
        <w:left w:val="none" w:sz="0" w:space="0" w:color="auto"/>
        <w:bottom w:val="none" w:sz="0" w:space="0" w:color="auto"/>
        <w:right w:val="none" w:sz="0" w:space="0" w:color="auto"/>
      </w:divBdr>
    </w:div>
    <w:div w:id="283268627">
      <w:bodyDiv w:val="1"/>
      <w:marLeft w:val="0"/>
      <w:marRight w:val="0"/>
      <w:marTop w:val="0"/>
      <w:marBottom w:val="0"/>
      <w:divBdr>
        <w:top w:val="none" w:sz="0" w:space="0" w:color="auto"/>
        <w:left w:val="none" w:sz="0" w:space="0" w:color="auto"/>
        <w:bottom w:val="none" w:sz="0" w:space="0" w:color="auto"/>
        <w:right w:val="none" w:sz="0" w:space="0" w:color="auto"/>
      </w:divBdr>
    </w:div>
    <w:div w:id="290406381">
      <w:bodyDiv w:val="1"/>
      <w:marLeft w:val="0"/>
      <w:marRight w:val="0"/>
      <w:marTop w:val="0"/>
      <w:marBottom w:val="0"/>
      <w:divBdr>
        <w:top w:val="none" w:sz="0" w:space="0" w:color="auto"/>
        <w:left w:val="none" w:sz="0" w:space="0" w:color="auto"/>
        <w:bottom w:val="none" w:sz="0" w:space="0" w:color="auto"/>
        <w:right w:val="none" w:sz="0" w:space="0" w:color="auto"/>
      </w:divBdr>
    </w:div>
    <w:div w:id="294533075">
      <w:bodyDiv w:val="1"/>
      <w:marLeft w:val="0"/>
      <w:marRight w:val="0"/>
      <w:marTop w:val="0"/>
      <w:marBottom w:val="0"/>
      <w:divBdr>
        <w:top w:val="none" w:sz="0" w:space="0" w:color="auto"/>
        <w:left w:val="none" w:sz="0" w:space="0" w:color="auto"/>
        <w:bottom w:val="none" w:sz="0" w:space="0" w:color="auto"/>
        <w:right w:val="none" w:sz="0" w:space="0" w:color="auto"/>
      </w:divBdr>
    </w:div>
    <w:div w:id="303509685">
      <w:bodyDiv w:val="1"/>
      <w:marLeft w:val="0"/>
      <w:marRight w:val="0"/>
      <w:marTop w:val="0"/>
      <w:marBottom w:val="0"/>
      <w:divBdr>
        <w:top w:val="none" w:sz="0" w:space="0" w:color="auto"/>
        <w:left w:val="none" w:sz="0" w:space="0" w:color="auto"/>
        <w:bottom w:val="none" w:sz="0" w:space="0" w:color="auto"/>
        <w:right w:val="none" w:sz="0" w:space="0" w:color="auto"/>
      </w:divBdr>
    </w:div>
    <w:div w:id="319503759">
      <w:bodyDiv w:val="1"/>
      <w:marLeft w:val="0"/>
      <w:marRight w:val="0"/>
      <w:marTop w:val="0"/>
      <w:marBottom w:val="0"/>
      <w:divBdr>
        <w:top w:val="none" w:sz="0" w:space="0" w:color="auto"/>
        <w:left w:val="none" w:sz="0" w:space="0" w:color="auto"/>
        <w:bottom w:val="none" w:sz="0" w:space="0" w:color="auto"/>
        <w:right w:val="none" w:sz="0" w:space="0" w:color="auto"/>
      </w:divBdr>
    </w:div>
    <w:div w:id="331492792">
      <w:bodyDiv w:val="1"/>
      <w:marLeft w:val="0"/>
      <w:marRight w:val="0"/>
      <w:marTop w:val="0"/>
      <w:marBottom w:val="0"/>
      <w:divBdr>
        <w:top w:val="none" w:sz="0" w:space="0" w:color="auto"/>
        <w:left w:val="none" w:sz="0" w:space="0" w:color="auto"/>
        <w:bottom w:val="none" w:sz="0" w:space="0" w:color="auto"/>
        <w:right w:val="none" w:sz="0" w:space="0" w:color="auto"/>
      </w:divBdr>
    </w:div>
    <w:div w:id="356279003">
      <w:bodyDiv w:val="1"/>
      <w:marLeft w:val="0"/>
      <w:marRight w:val="0"/>
      <w:marTop w:val="0"/>
      <w:marBottom w:val="0"/>
      <w:divBdr>
        <w:top w:val="none" w:sz="0" w:space="0" w:color="auto"/>
        <w:left w:val="none" w:sz="0" w:space="0" w:color="auto"/>
        <w:bottom w:val="none" w:sz="0" w:space="0" w:color="auto"/>
        <w:right w:val="none" w:sz="0" w:space="0" w:color="auto"/>
      </w:divBdr>
    </w:div>
    <w:div w:id="379666691">
      <w:bodyDiv w:val="1"/>
      <w:marLeft w:val="0"/>
      <w:marRight w:val="0"/>
      <w:marTop w:val="0"/>
      <w:marBottom w:val="0"/>
      <w:divBdr>
        <w:top w:val="none" w:sz="0" w:space="0" w:color="auto"/>
        <w:left w:val="none" w:sz="0" w:space="0" w:color="auto"/>
        <w:bottom w:val="none" w:sz="0" w:space="0" w:color="auto"/>
        <w:right w:val="none" w:sz="0" w:space="0" w:color="auto"/>
      </w:divBdr>
    </w:div>
    <w:div w:id="381178358">
      <w:bodyDiv w:val="1"/>
      <w:marLeft w:val="0"/>
      <w:marRight w:val="0"/>
      <w:marTop w:val="0"/>
      <w:marBottom w:val="0"/>
      <w:divBdr>
        <w:top w:val="none" w:sz="0" w:space="0" w:color="auto"/>
        <w:left w:val="none" w:sz="0" w:space="0" w:color="auto"/>
        <w:bottom w:val="none" w:sz="0" w:space="0" w:color="auto"/>
        <w:right w:val="none" w:sz="0" w:space="0" w:color="auto"/>
      </w:divBdr>
    </w:div>
    <w:div w:id="408501154">
      <w:bodyDiv w:val="1"/>
      <w:marLeft w:val="0"/>
      <w:marRight w:val="0"/>
      <w:marTop w:val="0"/>
      <w:marBottom w:val="0"/>
      <w:divBdr>
        <w:top w:val="none" w:sz="0" w:space="0" w:color="auto"/>
        <w:left w:val="none" w:sz="0" w:space="0" w:color="auto"/>
        <w:bottom w:val="none" w:sz="0" w:space="0" w:color="auto"/>
        <w:right w:val="none" w:sz="0" w:space="0" w:color="auto"/>
      </w:divBdr>
    </w:div>
    <w:div w:id="426969025">
      <w:bodyDiv w:val="1"/>
      <w:marLeft w:val="0"/>
      <w:marRight w:val="0"/>
      <w:marTop w:val="0"/>
      <w:marBottom w:val="0"/>
      <w:divBdr>
        <w:top w:val="none" w:sz="0" w:space="0" w:color="auto"/>
        <w:left w:val="none" w:sz="0" w:space="0" w:color="auto"/>
        <w:bottom w:val="none" w:sz="0" w:space="0" w:color="auto"/>
        <w:right w:val="none" w:sz="0" w:space="0" w:color="auto"/>
      </w:divBdr>
    </w:div>
    <w:div w:id="431168917">
      <w:bodyDiv w:val="1"/>
      <w:marLeft w:val="0"/>
      <w:marRight w:val="0"/>
      <w:marTop w:val="0"/>
      <w:marBottom w:val="0"/>
      <w:divBdr>
        <w:top w:val="none" w:sz="0" w:space="0" w:color="auto"/>
        <w:left w:val="none" w:sz="0" w:space="0" w:color="auto"/>
        <w:bottom w:val="none" w:sz="0" w:space="0" w:color="auto"/>
        <w:right w:val="none" w:sz="0" w:space="0" w:color="auto"/>
      </w:divBdr>
    </w:div>
    <w:div w:id="443620584">
      <w:bodyDiv w:val="1"/>
      <w:marLeft w:val="0"/>
      <w:marRight w:val="0"/>
      <w:marTop w:val="0"/>
      <w:marBottom w:val="0"/>
      <w:divBdr>
        <w:top w:val="none" w:sz="0" w:space="0" w:color="auto"/>
        <w:left w:val="none" w:sz="0" w:space="0" w:color="auto"/>
        <w:bottom w:val="none" w:sz="0" w:space="0" w:color="auto"/>
        <w:right w:val="none" w:sz="0" w:space="0" w:color="auto"/>
      </w:divBdr>
    </w:div>
    <w:div w:id="449863744">
      <w:bodyDiv w:val="1"/>
      <w:marLeft w:val="0"/>
      <w:marRight w:val="0"/>
      <w:marTop w:val="0"/>
      <w:marBottom w:val="0"/>
      <w:divBdr>
        <w:top w:val="none" w:sz="0" w:space="0" w:color="auto"/>
        <w:left w:val="none" w:sz="0" w:space="0" w:color="auto"/>
        <w:bottom w:val="none" w:sz="0" w:space="0" w:color="auto"/>
        <w:right w:val="none" w:sz="0" w:space="0" w:color="auto"/>
      </w:divBdr>
    </w:div>
    <w:div w:id="464081407">
      <w:bodyDiv w:val="1"/>
      <w:marLeft w:val="0"/>
      <w:marRight w:val="0"/>
      <w:marTop w:val="0"/>
      <w:marBottom w:val="0"/>
      <w:divBdr>
        <w:top w:val="none" w:sz="0" w:space="0" w:color="auto"/>
        <w:left w:val="none" w:sz="0" w:space="0" w:color="auto"/>
        <w:bottom w:val="none" w:sz="0" w:space="0" w:color="auto"/>
        <w:right w:val="none" w:sz="0" w:space="0" w:color="auto"/>
      </w:divBdr>
    </w:div>
    <w:div w:id="473373671">
      <w:bodyDiv w:val="1"/>
      <w:marLeft w:val="0"/>
      <w:marRight w:val="0"/>
      <w:marTop w:val="0"/>
      <w:marBottom w:val="0"/>
      <w:divBdr>
        <w:top w:val="none" w:sz="0" w:space="0" w:color="auto"/>
        <w:left w:val="none" w:sz="0" w:space="0" w:color="auto"/>
        <w:bottom w:val="none" w:sz="0" w:space="0" w:color="auto"/>
        <w:right w:val="none" w:sz="0" w:space="0" w:color="auto"/>
      </w:divBdr>
    </w:div>
    <w:div w:id="497038476">
      <w:bodyDiv w:val="1"/>
      <w:marLeft w:val="0"/>
      <w:marRight w:val="0"/>
      <w:marTop w:val="0"/>
      <w:marBottom w:val="0"/>
      <w:divBdr>
        <w:top w:val="none" w:sz="0" w:space="0" w:color="auto"/>
        <w:left w:val="none" w:sz="0" w:space="0" w:color="auto"/>
        <w:bottom w:val="none" w:sz="0" w:space="0" w:color="auto"/>
        <w:right w:val="none" w:sz="0" w:space="0" w:color="auto"/>
      </w:divBdr>
    </w:div>
    <w:div w:id="514273563">
      <w:bodyDiv w:val="1"/>
      <w:marLeft w:val="0"/>
      <w:marRight w:val="0"/>
      <w:marTop w:val="0"/>
      <w:marBottom w:val="0"/>
      <w:divBdr>
        <w:top w:val="none" w:sz="0" w:space="0" w:color="auto"/>
        <w:left w:val="none" w:sz="0" w:space="0" w:color="auto"/>
        <w:bottom w:val="none" w:sz="0" w:space="0" w:color="auto"/>
        <w:right w:val="none" w:sz="0" w:space="0" w:color="auto"/>
      </w:divBdr>
    </w:div>
    <w:div w:id="538056318">
      <w:bodyDiv w:val="1"/>
      <w:marLeft w:val="0"/>
      <w:marRight w:val="0"/>
      <w:marTop w:val="0"/>
      <w:marBottom w:val="0"/>
      <w:divBdr>
        <w:top w:val="none" w:sz="0" w:space="0" w:color="auto"/>
        <w:left w:val="none" w:sz="0" w:space="0" w:color="auto"/>
        <w:bottom w:val="none" w:sz="0" w:space="0" w:color="auto"/>
        <w:right w:val="none" w:sz="0" w:space="0" w:color="auto"/>
      </w:divBdr>
    </w:div>
    <w:div w:id="548684331">
      <w:bodyDiv w:val="1"/>
      <w:marLeft w:val="0"/>
      <w:marRight w:val="0"/>
      <w:marTop w:val="0"/>
      <w:marBottom w:val="0"/>
      <w:divBdr>
        <w:top w:val="none" w:sz="0" w:space="0" w:color="auto"/>
        <w:left w:val="none" w:sz="0" w:space="0" w:color="auto"/>
        <w:bottom w:val="none" w:sz="0" w:space="0" w:color="auto"/>
        <w:right w:val="none" w:sz="0" w:space="0" w:color="auto"/>
      </w:divBdr>
    </w:div>
    <w:div w:id="566571825">
      <w:bodyDiv w:val="1"/>
      <w:marLeft w:val="0"/>
      <w:marRight w:val="0"/>
      <w:marTop w:val="0"/>
      <w:marBottom w:val="0"/>
      <w:divBdr>
        <w:top w:val="none" w:sz="0" w:space="0" w:color="auto"/>
        <w:left w:val="none" w:sz="0" w:space="0" w:color="auto"/>
        <w:bottom w:val="none" w:sz="0" w:space="0" w:color="auto"/>
        <w:right w:val="none" w:sz="0" w:space="0" w:color="auto"/>
      </w:divBdr>
    </w:div>
    <w:div w:id="581766369">
      <w:bodyDiv w:val="1"/>
      <w:marLeft w:val="0"/>
      <w:marRight w:val="0"/>
      <w:marTop w:val="0"/>
      <w:marBottom w:val="0"/>
      <w:divBdr>
        <w:top w:val="none" w:sz="0" w:space="0" w:color="auto"/>
        <w:left w:val="none" w:sz="0" w:space="0" w:color="auto"/>
        <w:bottom w:val="none" w:sz="0" w:space="0" w:color="auto"/>
        <w:right w:val="none" w:sz="0" w:space="0" w:color="auto"/>
      </w:divBdr>
    </w:div>
    <w:div w:id="588735673">
      <w:bodyDiv w:val="1"/>
      <w:marLeft w:val="0"/>
      <w:marRight w:val="0"/>
      <w:marTop w:val="0"/>
      <w:marBottom w:val="0"/>
      <w:divBdr>
        <w:top w:val="none" w:sz="0" w:space="0" w:color="auto"/>
        <w:left w:val="none" w:sz="0" w:space="0" w:color="auto"/>
        <w:bottom w:val="none" w:sz="0" w:space="0" w:color="auto"/>
        <w:right w:val="none" w:sz="0" w:space="0" w:color="auto"/>
      </w:divBdr>
    </w:div>
    <w:div w:id="622465707">
      <w:bodyDiv w:val="1"/>
      <w:marLeft w:val="0"/>
      <w:marRight w:val="0"/>
      <w:marTop w:val="0"/>
      <w:marBottom w:val="0"/>
      <w:divBdr>
        <w:top w:val="none" w:sz="0" w:space="0" w:color="auto"/>
        <w:left w:val="none" w:sz="0" w:space="0" w:color="auto"/>
        <w:bottom w:val="none" w:sz="0" w:space="0" w:color="auto"/>
        <w:right w:val="none" w:sz="0" w:space="0" w:color="auto"/>
      </w:divBdr>
    </w:div>
    <w:div w:id="635989355">
      <w:bodyDiv w:val="1"/>
      <w:marLeft w:val="0"/>
      <w:marRight w:val="0"/>
      <w:marTop w:val="0"/>
      <w:marBottom w:val="0"/>
      <w:divBdr>
        <w:top w:val="none" w:sz="0" w:space="0" w:color="auto"/>
        <w:left w:val="none" w:sz="0" w:space="0" w:color="auto"/>
        <w:bottom w:val="none" w:sz="0" w:space="0" w:color="auto"/>
        <w:right w:val="none" w:sz="0" w:space="0" w:color="auto"/>
      </w:divBdr>
    </w:div>
    <w:div w:id="644312053">
      <w:bodyDiv w:val="1"/>
      <w:marLeft w:val="0"/>
      <w:marRight w:val="0"/>
      <w:marTop w:val="0"/>
      <w:marBottom w:val="0"/>
      <w:divBdr>
        <w:top w:val="none" w:sz="0" w:space="0" w:color="auto"/>
        <w:left w:val="none" w:sz="0" w:space="0" w:color="auto"/>
        <w:bottom w:val="none" w:sz="0" w:space="0" w:color="auto"/>
        <w:right w:val="none" w:sz="0" w:space="0" w:color="auto"/>
      </w:divBdr>
    </w:div>
    <w:div w:id="645937650">
      <w:bodyDiv w:val="1"/>
      <w:marLeft w:val="0"/>
      <w:marRight w:val="0"/>
      <w:marTop w:val="0"/>
      <w:marBottom w:val="0"/>
      <w:divBdr>
        <w:top w:val="none" w:sz="0" w:space="0" w:color="auto"/>
        <w:left w:val="none" w:sz="0" w:space="0" w:color="auto"/>
        <w:bottom w:val="none" w:sz="0" w:space="0" w:color="auto"/>
        <w:right w:val="none" w:sz="0" w:space="0" w:color="auto"/>
      </w:divBdr>
    </w:div>
    <w:div w:id="672731412">
      <w:bodyDiv w:val="1"/>
      <w:marLeft w:val="0"/>
      <w:marRight w:val="0"/>
      <w:marTop w:val="0"/>
      <w:marBottom w:val="0"/>
      <w:divBdr>
        <w:top w:val="none" w:sz="0" w:space="0" w:color="auto"/>
        <w:left w:val="none" w:sz="0" w:space="0" w:color="auto"/>
        <w:bottom w:val="none" w:sz="0" w:space="0" w:color="auto"/>
        <w:right w:val="none" w:sz="0" w:space="0" w:color="auto"/>
      </w:divBdr>
    </w:div>
    <w:div w:id="698972820">
      <w:bodyDiv w:val="1"/>
      <w:marLeft w:val="0"/>
      <w:marRight w:val="0"/>
      <w:marTop w:val="0"/>
      <w:marBottom w:val="0"/>
      <w:divBdr>
        <w:top w:val="none" w:sz="0" w:space="0" w:color="auto"/>
        <w:left w:val="none" w:sz="0" w:space="0" w:color="auto"/>
        <w:bottom w:val="none" w:sz="0" w:space="0" w:color="auto"/>
        <w:right w:val="none" w:sz="0" w:space="0" w:color="auto"/>
      </w:divBdr>
    </w:div>
    <w:div w:id="750002378">
      <w:bodyDiv w:val="1"/>
      <w:marLeft w:val="0"/>
      <w:marRight w:val="0"/>
      <w:marTop w:val="0"/>
      <w:marBottom w:val="0"/>
      <w:divBdr>
        <w:top w:val="none" w:sz="0" w:space="0" w:color="auto"/>
        <w:left w:val="none" w:sz="0" w:space="0" w:color="auto"/>
        <w:bottom w:val="none" w:sz="0" w:space="0" w:color="auto"/>
        <w:right w:val="none" w:sz="0" w:space="0" w:color="auto"/>
      </w:divBdr>
    </w:div>
    <w:div w:id="750464071">
      <w:bodyDiv w:val="1"/>
      <w:marLeft w:val="0"/>
      <w:marRight w:val="0"/>
      <w:marTop w:val="0"/>
      <w:marBottom w:val="0"/>
      <w:divBdr>
        <w:top w:val="none" w:sz="0" w:space="0" w:color="auto"/>
        <w:left w:val="none" w:sz="0" w:space="0" w:color="auto"/>
        <w:bottom w:val="none" w:sz="0" w:space="0" w:color="auto"/>
        <w:right w:val="none" w:sz="0" w:space="0" w:color="auto"/>
      </w:divBdr>
    </w:div>
    <w:div w:id="759908892">
      <w:bodyDiv w:val="1"/>
      <w:marLeft w:val="0"/>
      <w:marRight w:val="0"/>
      <w:marTop w:val="0"/>
      <w:marBottom w:val="0"/>
      <w:divBdr>
        <w:top w:val="none" w:sz="0" w:space="0" w:color="auto"/>
        <w:left w:val="none" w:sz="0" w:space="0" w:color="auto"/>
        <w:bottom w:val="none" w:sz="0" w:space="0" w:color="auto"/>
        <w:right w:val="none" w:sz="0" w:space="0" w:color="auto"/>
      </w:divBdr>
    </w:div>
    <w:div w:id="766735900">
      <w:bodyDiv w:val="1"/>
      <w:marLeft w:val="0"/>
      <w:marRight w:val="0"/>
      <w:marTop w:val="0"/>
      <w:marBottom w:val="0"/>
      <w:divBdr>
        <w:top w:val="none" w:sz="0" w:space="0" w:color="auto"/>
        <w:left w:val="none" w:sz="0" w:space="0" w:color="auto"/>
        <w:bottom w:val="none" w:sz="0" w:space="0" w:color="auto"/>
        <w:right w:val="none" w:sz="0" w:space="0" w:color="auto"/>
      </w:divBdr>
    </w:div>
    <w:div w:id="767043522">
      <w:bodyDiv w:val="1"/>
      <w:marLeft w:val="0"/>
      <w:marRight w:val="0"/>
      <w:marTop w:val="0"/>
      <w:marBottom w:val="0"/>
      <w:divBdr>
        <w:top w:val="none" w:sz="0" w:space="0" w:color="auto"/>
        <w:left w:val="none" w:sz="0" w:space="0" w:color="auto"/>
        <w:bottom w:val="none" w:sz="0" w:space="0" w:color="auto"/>
        <w:right w:val="none" w:sz="0" w:space="0" w:color="auto"/>
      </w:divBdr>
    </w:div>
    <w:div w:id="767308549">
      <w:bodyDiv w:val="1"/>
      <w:marLeft w:val="0"/>
      <w:marRight w:val="0"/>
      <w:marTop w:val="0"/>
      <w:marBottom w:val="0"/>
      <w:divBdr>
        <w:top w:val="none" w:sz="0" w:space="0" w:color="auto"/>
        <w:left w:val="none" w:sz="0" w:space="0" w:color="auto"/>
        <w:bottom w:val="none" w:sz="0" w:space="0" w:color="auto"/>
        <w:right w:val="none" w:sz="0" w:space="0" w:color="auto"/>
      </w:divBdr>
    </w:div>
    <w:div w:id="774594547">
      <w:bodyDiv w:val="1"/>
      <w:marLeft w:val="0"/>
      <w:marRight w:val="0"/>
      <w:marTop w:val="0"/>
      <w:marBottom w:val="0"/>
      <w:divBdr>
        <w:top w:val="none" w:sz="0" w:space="0" w:color="auto"/>
        <w:left w:val="none" w:sz="0" w:space="0" w:color="auto"/>
        <w:bottom w:val="none" w:sz="0" w:space="0" w:color="auto"/>
        <w:right w:val="none" w:sz="0" w:space="0" w:color="auto"/>
      </w:divBdr>
    </w:div>
    <w:div w:id="775095564">
      <w:bodyDiv w:val="1"/>
      <w:marLeft w:val="0"/>
      <w:marRight w:val="0"/>
      <w:marTop w:val="0"/>
      <w:marBottom w:val="0"/>
      <w:divBdr>
        <w:top w:val="none" w:sz="0" w:space="0" w:color="auto"/>
        <w:left w:val="none" w:sz="0" w:space="0" w:color="auto"/>
        <w:bottom w:val="none" w:sz="0" w:space="0" w:color="auto"/>
        <w:right w:val="none" w:sz="0" w:space="0" w:color="auto"/>
      </w:divBdr>
    </w:div>
    <w:div w:id="775639318">
      <w:bodyDiv w:val="1"/>
      <w:marLeft w:val="0"/>
      <w:marRight w:val="0"/>
      <w:marTop w:val="0"/>
      <w:marBottom w:val="0"/>
      <w:divBdr>
        <w:top w:val="none" w:sz="0" w:space="0" w:color="auto"/>
        <w:left w:val="none" w:sz="0" w:space="0" w:color="auto"/>
        <w:bottom w:val="none" w:sz="0" w:space="0" w:color="auto"/>
        <w:right w:val="none" w:sz="0" w:space="0" w:color="auto"/>
      </w:divBdr>
    </w:div>
    <w:div w:id="776558264">
      <w:bodyDiv w:val="1"/>
      <w:marLeft w:val="0"/>
      <w:marRight w:val="0"/>
      <w:marTop w:val="0"/>
      <w:marBottom w:val="0"/>
      <w:divBdr>
        <w:top w:val="none" w:sz="0" w:space="0" w:color="auto"/>
        <w:left w:val="none" w:sz="0" w:space="0" w:color="auto"/>
        <w:bottom w:val="none" w:sz="0" w:space="0" w:color="auto"/>
        <w:right w:val="none" w:sz="0" w:space="0" w:color="auto"/>
      </w:divBdr>
    </w:div>
    <w:div w:id="793451180">
      <w:bodyDiv w:val="1"/>
      <w:marLeft w:val="0"/>
      <w:marRight w:val="0"/>
      <w:marTop w:val="0"/>
      <w:marBottom w:val="0"/>
      <w:divBdr>
        <w:top w:val="none" w:sz="0" w:space="0" w:color="auto"/>
        <w:left w:val="none" w:sz="0" w:space="0" w:color="auto"/>
        <w:bottom w:val="none" w:sz="0" w:space="0" w:color="auto"/>
        <w:right w:val="none" w:sz="0" w:space="0" w:color="auto"/>
      </w:divBdr>
    </w:div>
    <w:div w:id="793451910">
      <w:bodyDiv w:val="1"/>
      <w:marLeft w:val="0"/>
      <w:marRight w:val="0"/>
      <w:marTop w:val="0"/>
      <w:marBottom w:val="0"/>
      <w:divBdr>
        <w:top w:val="none" w:sz="0" w:space="0" w:color="auto"/>
        <w:left w:val="none" w:sz="0" w:space="0" w:color="auto"/>
        <w:bottom w:val="none" w:sz="0" w:space="0" w:color="auto"/>
        <w:right w:val="none" w:sz="0" w:space="0" w:color="auto"/>
      </w:divBdr>
    </w:div>
    <w:div w:id="802848678">
      <w:bodyDiv w:val="1"/>
      <w:marLeft w:val="0"/>
      <w:marRight w:val="0"/>
      <w:marTop w:val="0"/>
      <w:marBottom w:val="0"/>
      <w:divBdr>
        <w:top w:val="none" w:sz="0" w:space="0" w:color="auto"/>
        <w:left w:val="none" w:sz="0" w:space="0" w:color="auto"/>
        <w:bottom w:val="none" w:sz="0" w:space="0" w:color="auto"/>
        <w:right w:val="none" w:sz="0" w:space="0" w:color="auto"/>
      </w:divBdr>
    </w:div>
    <w:div w:id="805855599">
      <w:bodyDiv w:val="1"/>
      <w:marLeft w:val="0"/>
      <w:marRight w:val="0"/>
      <w:marTop w:val="0"/>
      <w:marBottom w:val="0"/>
      <w:divBdr>
        <w:top w:val="none" w:sz="0" w:space="0" w:color="auto"/>
        <w:left w:val="none" w:sz="0" w:space="0" w:color="auto"/>
        <w:bottom w:val="none" w:sz="0" w:space="0" w:color="auto"/>
        <w:right w:val="none" w:sz="0" w:space="0" w:color="auto"/>
      </w:divBdr>
    </w:div>
    <w:div w:id="807281457">
      <w:bodyDiv w:val="1"/>
      <w:marLeft w:val="0"/>
      <w:marRight w:val="0"/>
      <w:marTop w:val="0"/>
      <w:marBottom w:val="0"/>
      <w:divBdr>
        <w:top w:val="none" w:sz="0" w:space="0" w:color="auto"/>
        <w:left w:val="none" w:sz="0" w:space="0" w:color="auto"/>
        <w:bottom w:val="none" w:sz="0" w:space="0" w:color="auto"/>
        <w:right w:val="none" w:sz="0" w:space="0" w:color="auto"/>
      </w:divBdr>
    </w:div>
    <w:div w:id="820775662">
      <w:bodyDiv w:val="1"/>
      <w:marLeft w:val="0"/>
      <w:marRight w:val="0"/>
      <w:marTop w:val="0"/>
      <w:marBottom w:val="0"/>
      <w:divBdr>
        <w:top w:val="none" w:sz="0" w:space="0" w:color="auto"/>
        <w:left w:val="none" w:sz="0" w:space="0" w:color="auto"/>
        <w:bottom w:val="none" w:sz="0" w:space="0" w:color="auto"/>
        <w:right w:val="none" w:sz="0" w:space="0" w:color="auto"/>
      </w:divBdr>
    </w:div>
    <w:div w:id="830754618">
      <w:bodyDiv w:val="1"/>
      <w:marLeft w:val="0"/>
      <w:marRight w:val="0"/>
      <w:marTop w:val="0"/>
      <w:marBottom w:val="0"/>
      <w:divBdr>
        <w:top w:val="none" w:sz="0" w:space="0" w:color="auto"/>
        <w:left w:val="none" w:sz="0" w:space="0" w:color="auto"/>
        <w:bottom w:val="none" w:sz="0" w:space="0" w:color="auto"/>
        <w:right w:val="none" w:sz="0" w:space="0" w:color="auto"/>
      </w:divBdr>
    </w:div>
    <w:div w:id="848256858">
      <w:bodyDiv w:val="1"/>
      <w:marLeft w:val="0"/>
      <w:marRight w:val="0"/>
      <w:marTop w:val="0"/>
      <w:marBottom w:val="0"/>
      <w:divBdr>
        <w:top w:val="none" w:sz="0" w:space="0" w:color="auto"/>
        <w:left w:val="none" w:sz="0" w:space="0" w:color="auto"/>
        <w:bottom w:val="none" w:sz="0" w:space="0" w:color="auto"/>
        <w:right w:val="none" w:sz="0" w:space="0" w:color="auto"/>
      </w:divBdr>
    </w:div>
    <w:div w:id="863519783">
      <w:bodyDiv w:val="1"/>
      <w:marLeft w:val="0"/>
      <w:marRight w:val="0"/>
      <w:marTop w:val="0"/>
      <w:marBottom w:val="0"/>
      <w:divBdr>
        <w:top w:val="none" w:sz="0" w:space="0" w:color="auto"/>
        <w:left w:val="none" w:sz="0" w:space="0" w:color="auto"/>
        <w:bottom w:val="none" w:sz="0" w:space="0" w:color="auto"/>
        <w:right w:val="none" w:sz="0" w:space="0" w:color="auto"/>
      </w:divBdr>
    </w:div>
    <w:div w:id="871576978">
      <w:bodyDiv w:val="1"/>
      <w:marLeft w:val="0"/>
      <w:marRight w:val="0"/>
      <w:marTop w:val="0"/>
      <w:marBottom w:val="0"/>
      <w:divBdr>
        <w:top w:val="none" w:sz="0" w:space="0" w:color="auto"/>
        <w:left w:val="none" w:sz="0" w:space="0" w:color="auto"/>
        <w:bottom w:val="none" w:sz="0" w:space="0" w:color="auto"/>
        <w:right w:val="none" w:sz="0" w:space="0" w:color="auto"/>
      </w:divBdr>
    </w:div>
    <w:div w:id="871920548">
      <w:bodyDiv w:val="1"/>
      <w:marLeft w:val="0"/>
      <w:marRight w:val="0"/>
      <w:marTop w:val="0"/>
      <w:marBottom w:val="0"/>
      <w:divBdr>
        <w:top w:val="none" w:sz="0" w:space="0" w:color="auto"/>
        <w:left w:val="none" w:sz="0" w:space="0" w:color="auto"/>
        <w:bottom w:val="none" w:sz="0" w:space="0" w:color="auto"/>
        <w:right w:val="none" w:sz="0" w:space="0" w:color="auto"/>
      </w:divBdr>
    </w:div>
    <w:div w:id="873151110">
      <w:bodyDiv w:val="1"/>
      <w:marLeft w:val="0"/>
      <w:marRight w:val="0"/>
      <w:marTop w:val="0"/>
      <w:marBottom w:val="0"/>
      <w:divBdr>
        <w:top w:val="none" w:sz="0" w:space="0" w:color="auto"/>
        <w:left w:val="none" w:sz="0" w:space="0" w:color="auto"/>
        <w:bottom w:val="none" w:sz="0" w:space="0" w:color="auto"/>
        <w:right w:val="none" w:sz="0" w:space="0" w:color="auto"/>
      </w:divBdr>
    </w:div>
    <w:div w:id="879249129">
      <w:bodyDiv w:val="1"/>
      <w:marLeft w:val="0"/>
      <w:marRight w:val="0"/>
      <w:marTop w:val="0"/>
      <w:marBottom w:val="0"/>
      <w:divBdr>
        <w:top w:val="none" w:sz="0" w:space="0" w:color="auto"/>
        <w:left w:val="none" w:sz="0" w:space="0" w:color="auto"/>
        <w:bottom w:val="none" w:sz="0" w:space="0" w:color="auto"/>
        <w:right w:val="none" w:sz="0" w:space="0" w:color="auto"/>
      </w:divBdr>
    </w:div>
    <w:div w:id="888885161">
      <w:bodyDiv w:val="1"/>
      <w:marLeft w:val="0"/>
      <w:marRight w:val="0"/>
      <w:marTop w:val="0"/>
      <w:marBottom w:val="0"/>
      <w:divBdr>
        <w:top w:val="none" w:sz="0" w:space="0" w:color="auto"/>
        <w:left w:val="none" w:sz="0" w:space="0" w:color="auto"/>
        <w:bottom w:val="none" w:sz="0" w:space="0" w:color="auto"/>
        <w:right w:val="none" w:sz="0" w:space="0" w:color="auto"/>
      </w:divBdr>
    </w:div>
    <w:div w:id="908537092">
      <w:bodyDiv w:val="1"/>
      <w:marLeft w:val="0"/>
      <w:marRight w:val="0"/>
      <w:marTop w:val="0"/>
      <w:marBottom w:val="0"/>
      <w:divBdr>
        <w:top w:val="none" w:sz="0" w:space="0" w:color="auto"/>
        <w:left w:val="none" w:sz="0" w:space="0" w:color="auto"/>
        <w:bottom w:val="none" w:sz="0" w:space="0" w:color="auto"/>
        <w:right w:val="none" w:sz="0" w:space="0" w:color="auto"/>
      </w:divBdr>
    </w:div>
    <w:div w:id="918367696">
      <w:bodyDiv w:val="1"/>
      <w:marLeft w:val="0"/>
      <w:marRight w:val="0"/>
      <w:marTop w:val="0"/>
      <w:marBottom w:val="0"/>
      <w:divBdr>
        <w:top w:val="none" w:sz="0" w:space="0" w:color="auto"/>
        <w:left w:val="none" w:sz="0" w:space="0" w:color="auto"/>
        <w:bottom w:val="none" w:sz="0" w:space="0" w:color="auto"/>
        <w:right w:val="none" w:sz="0" w:space="0" w:color="auto"/>
      </w:divBdr>
    </w:div>
    <w:div w:id="925959495">
      <w:bodyDiv w:val="1"/>
      <w:marLeft w:val="0"/>
      <w:marRight w:val="0"/>
      <w:marTop w:val="0"/>
      <w:marBottom w:val="0"/>
      <w:divBdr>
        <w:top w:val="none" w:sz="0" w:space="0" w:color="auto"/>
        <w:left w:val="none" w:sz="0" w:space="0" w:color="auto"/>
        <w:bottom w:val="none" w:sz="0" w:space="0" w:color="auto"/>
        <w:right w:val="none" w:sz="0" w:space="0" w:color="auto"/>
      </w:divBdr>
    </w:div>
    <w:div w:id="940332545">
      <w:bodyDiv w:val="1"/>
      <w:marLeft w:val="0"/>
      <w:marRight w:val="0"/>
      <w:marTop w:val="0"/>
      <w:marBottom w:val="0"/>
      <w:divBdr>
        <w:top w:val="none" w:sz="0" w:space="0" w:color="auto"/>
        <w:left w:val="none" w:sz="0" w:space="0" w:color="auto"/>
        <w:bottom w:val="none" w:sz="0" w:space="0" w:color="auto"/>
        <w:right w:val="none" w:sz="0" w:space="0" w:color="auto"/>
      </w:divBdr>
    </w:div>
    <w:div w:id="955529150">
      <w:bodyDiv w:val="1"/>
      <w:marLeft w:val="0"/>
      <w:marRight w:val="0"/>
      <w:marTop w:val="0"/>
      <w:marBottom w:val="0"/>
      <w:divBdr>
        <w:top w:val="none" w:sz="0" w:space="0" w:color="auto"/>
        <w:left w:val="none" w:sz="0" w:space="0" w:color="auto"/>
        <w:bottom w:val="none" w:sz="0" w:space="0" w:color="auto"/>
        <w:right w:val="none" w:sz="0" w:space="0" w:color="auto"/>
      </w:divBdr>
    </w:div>
    <w:div w:id="966163497">
      <w:bodyDiv w:val="1"/>
      <w:marLeft w:val="0"/>
      <w:marRight w:val="0"/>
      <w:marTop w:val="0"/>
      <w:marBottom w:val="0"/>
      <w:divBdr>
        <w:top w:val="none" w:sz="0" w:space="0" w:color="auto"/>
        <w:left w:val="none" w:sz="0" w:space="0" w:color="auto"/>
        <w:bottom w:val="none" w:sz="0" w:space="0" w:color="auto"/>
        <w:right w:val="none" w:sz="0" w:space="0" w:color="auto"/>
      </w:divBdr>
    </w:div>
    <w:div w:id="993951286">
      <w:bodyDiv w:val="1"/>
      <w:marLeft w:val="0"/>
      <w:marRight w:val="0"/>
      <w:marTop w:val="0"/>
      <w:marBottom w:val="0"/>
      <w:divBdr>
        <w:top w:val="none" w:sz="0" w:space="0" w:color="auto"/>
        <w:left w:val="none" w:sz="0" w:space="0" w:color="auto"/>
        <w:bottom w:val="none" w:sz="0" w:space="0" w:color="auto"/>
        <w:right w:val="none" w:sz="0" w:space="0" w:color="auto"/>
      </w:divBdr>
    </w:div>
    <w:div w:id="999121408">
      <w:bodyDiv w:val="1"/>
      <w:marLeft w:val="0"/>
      <w:marRight w:val="0"/>
      <w:marTop w:val="0"/>
      <w:marBottom w:val="0"/>
      <w:divBdr>
        <w:top w:val="none" w:sz="0" w:space="0" w:color="auto"/>
        <w:left w:val="none" w:sz="0" w:space="0" w:color="auto"/>
        <w:bottom w:val="none" w:sz="0" w:space="0" w:color="auto"/>
        <w:right w:val="none" w:sz="0" w:space="0" w:color="auto"/>
      </w:divBdr>
    </w:div>
    <w:div w:id="1028990259">
      <w:bodyDiv w:val="1"/>
      <w:marLeft w:val="0"/>
      <w:marRight w:val="0"/>
      <w:marTop w:val="0"/>
      <w:marBottom w:val="0"/>
      <w:divBdr>
        <w:top w:val="none" w:sz="0" w:space="0" w:color="auto"/>
        <w:left w:val="none" w:sz="0" w:space="0" w:color="auto"/>
        <w:bottom w:val="none" w:sz="0" w:space="0" w:color="auto"/>
        <w:right w:val="none" w:sz="0" w:space="0" w:color="auto"/>
      </w:divBdr>
    </w:div>
    <w:div w:id="1085760746">
      <w:bodyDiv w:val="1"/>
      <w:marLeft w:val="0"/>
      <w:marRight w:val="0"/>
      <w:marTop w:val="0"/>
      <w:marBottom w:val="0"/>
      <w:divBdr>
        <w:top w:val="none" w:sz="0" w:space="0" w:color="auto"/>
        <w:left w:val="none" w:sz="0" w:space="0" w:color="auto"/>
        <w:bottom w:val="none" w:sz="0" w:space="0" w:color="auto"/>
        <w:right w:val="none" w:sz="0" w:space="0" w:color="auto"/>
      </w:divBdr>
    </w:div>
    <w:div w:id="1134443954">
      <w:bodyDiv w:val="1"/>
      <w:marLeft w:val="0"/>
      <w:marRight w:val="0"/>
      <w:marTop w:val="0"/>
      <w:marBottom w:val="0"/>
      <w:divBdr>
        <w:top w:val="none" w:sz="0" w:space="0" w:color="auto"/>
        <w:left w:val="none" w:sz="0" w:space="0" w:color="auto"/>
        <w:bottom w:val="none" w:sz="0" w:space="0" w:color="auto"/>
        <w:right w:val="none" w:sz="0" w:space="0" w:color="auto"/>
      </w:divBdr>
    </w:div>
    <w:div w:id="1143887212">
      <w:bodyDiv w:val="1"/>
      <w:marLeft w:val="0"/>
      <w:marRight w:val="0"/>
      <w:marTop w:val="0"/>
      <w:marBottom w:val="0"/>
      <w:divBdr>
        <w:top w:val="none" w:sz="0" w:space="0" w:color="auto"/>
        <w:left w:val="none" w:sz="0" w:space="0" w:color="auto"/>
        <w:bottom w:val="none" w:sz="0" w:space="0" w:color="auto"/>
        <w:right w:val="none" w:sz="0" w:space="0" w:color="auto"/>
      </w:divBdr>
    </w:div>
    <w:div w:id="1147090873">
      <w:bodyDiv w:val="1"/>
      <w:marLeft w:val="0"/>
      <w:marRight w:val="0"/>
      <w:marTop w:val="0"/>
      <w:marBottom w:val="0"/>
      <w:divBdr>
        <w:top w:val="none" w:sz="0" w:space="0" w:color="auto"/>
        <w:left w:val="none" w:sz="0" w:space="0" w:color="auto"/>
        <w:bottom w:val="none" w:sz="0" w:space="0" w:color="auto"/>
        <w:right w:val="none" w:sz="0" w:space="0" w:color="auto"/>
      </w:divBdr>
    </w:div>
    <w:div w:id="1162426865">
      <w:bodyDiv w:val="1"/>
      <w:marLeft w:val="0"/>
      <w:marRight w:val="0"/>
      <w:marTop w:val="0"/>
      <w:marBottom w:val="0"/>
      <w:divBdr>
        <w:top w:val="none" w:sz="0" w:space="0" w:color="auto"/>
        <w:left w:val="none" w:sz="0" w:space="0" w:color="auto"/>
        <w:bottom w:val="none" w:sz="0" w:space="0" w:color="auto"/>
        <w:right w:val="none" w:sz="0" w:space="0" w:color="auto"/>
      </w:divBdr>
    </w:div>
    <w:div w:id="1163425741">
      <w:bodyDiv w:val="1"/>
      <w:marLeft w:val="0"/>
      <w:marRight w:val="0"/>
      <w:marTop w:val="0"/>
      <w:marBottom w:val="0"/>
      <w:divBdr>
        <w:top w:val="none" w:sz="0" w:space="0" w:color="auto"/>
        <w:left w:val="none" w:sz="0" w:space="0" w:color="auto"/>
        <w:bottom w:val="none" w:sz="0" w:space="0" w:color="auto"/>
        <w:right w:val="none" w:sz="0" w:space="0" w:color="auto"/>
      </w:divBdr>
    </w:div>
    <w:div w:id="1196382310">
      <w:bodyDiv w:val="1"/>
      <w:marLeft w:val="0"/>
      <w:marRight w:val="0"/>
      <w:marTop w:val="0"/>
      <w:marBottom w:val="0"/>
      <w:divBdr>
        <w:top w:val="none" w:sz="0" w:space="0" w:color="auto"/>
        <w:left w:val="none" w:sz="0" w:space="0" w:color="auto"/>
        <w:bottom w:val="none" w:sz="0" w:space="0" w:color="auto"/>
        <w:right w:val="none" w:sz="0" w:space="0" w:color="auto"/>
      </w:divBdr>
    </w:div>
    <w:div w:id="1196623062">
      <w:bodyDiv w:val="1"/>
      <w:marLeft w:val="0"/>
      <w:marRight w:val="0"/>
      <w:marTop w:val="0"/>
      <w:marBottom w:val="0"/>
      <w:divBdr>
        <w:top w:val="none" w:sz="0" w:space="0" w:color="auto"/>
        <w:left w:val="none" w:sz="0" w:space="0" w:color="auto"/>
        <w:bottom w:val="none" w:sz="0" w:space="0" w:color="auto"/>
        <w:right w:val="none" w:sz="0" w:space="0" w:color="auto"/>
      </w:divBdr>
    </w:div>
    <w:div w:id="1215967953">
      <w:bodyDiv w:val="1"/>
      <w:marLeft w:val="0"/>
      <w:marRight w:val="0"/>
      <w:marTop w:val="0"/>
      <w:marBottom w:val="0"/>
      <w:divBdr>
        <w:top w:val="none" w:sz="0" w:space="0" w:color="auto"/>
        <w:left w:val="none" w:sz="0" w:space="0" w:color="auto"/>
        <w:bottom w:val="none" w:sz="0" w:space="0" w:color="auto"/>
        <w:right w:val="none" w:sz="0" w:space="0" w:color="auto"/>
      </w:divBdr>
    </w:div>
    <w:div w:id="1241913285">
      <w:bodyDiv w:val="1"/>
      <w:marLeft w:val="0"/>
      <w:marRight w:val="0"/>
      <w:marTop w:val="0"/>
      <w:marBottom w:val="0"/>
      <w:divBdr>
        <w:top w:val="none" w:sz="0" w:space="0" w:color="auto"/>
        <w:left w:val="none" w:sz="0" w:space="0" w:color="auto"/>
        <w:bottom w:val="none" w:sz="0" w:space="0" w:color="auto"/>
        <w:right w:val="none" w:sz="0" w:space="0" w:color="auto"/>
      </w:divBdr>
    </w:div>
    <w:div w:id="1258099720">
      <w:bodyDiv w:val="1"/>
      <w:marLeft w:val="0"/>
      <w:marRight w:val="0"/>
      <w:marTop w:val="0"/>
      <w:marBottom w:val="0"/>
      <w:divBdr>
        <w:top w:val="none" w:sz="0" w:space="0" w:color="auto"/>
        <w:left w:val="none" w:sz="0" w:space="0" w:color="auto"/>
        <w:bottom w:val="none" w:sz="0" w:space="0" w:color="auto"/>
        <w:right w:val="none" w:sz="0" w:space="0" w:color="auto"/>
      </w:divBdr>
    </w:div>
    <w:div w:id="1266378441">
      <w:bodyDiv w:val="1"/>
      <w:marLeft w:val="0"/>
      <w:marRight w:val="0"/>
      <w:marTop w:val="0"/>
      <w:marBottom w:val="0"/>
      <w:divBdr>
        <w:top w:val="none" w:sz="0" w:space="0" w:color="auto"/>
        <w:left w:val="none" w:sz="0" w:space="0" w:color="auto"/>
        <w:bottom w:val="none" w:sz="0" w:space="0" w:color="auto"/>
        <w:right w:val="none" w:sz="0" w:space="0" w:color="auto"/>
      </w:divBdr>
    </w:div>
    <w:div w:id="1297183214">
      <w:bodyDiv w:val="1"/>
      <w:marLeft w:val="0"/>
      <w:marRight w:val="0"/>
      <w:marTop w:val="0"/>
      <w:marBottom w:val="0"/>
      <w:divBdr>
        <w:top w:val="none" w:sz="0" w:space="0" w:color="auto"/>
        <w:left w:val="none" w:sz="0" w:space="0" w:color="auto"/>
        <w:bottom w:val="none" w:sz="0" w:space="0" w:color="auto"/>
        <w:right w:val="none" w:sz="0" w:space="0" w:color="auto"/>
      </w:divBdr>
    </w:div>
    <w:div w:id="1306591925">
      <w:bodyDiv w:val="1"/>
      <w:marLeft w:val="0"/>
      <w:marRight w:val="0"/>
      <w:marTop w:val="0"/>
      <w:marBottom w:val="0"/>
      <w:divBdr>
        <w:top w:val="none" w:sz="0" w:space="0" w:color="auto"/>
        <w:left w:val="none" w:sz="0" w:space="0" w:color="auto"/>
        <w:bottom w:val="none" w:sz="0" w:space="0" w:color="auto"/>
        <w:right w:val="none" w:sz="0" w:space="0" w:color="auto"/>
      </w:divBdr>
    </w:div>
    <w:div w:id="1319118495">
      <w:bodyDiv w:val="1"/>
      <w:marLeft w:val="0"/>
      <w:marRight w:val="0"/>
      <w:marTop w:val="0"/>
      <w:marBottom w:val="0"/>
      <w:divBdr>
        <w:top w:val="none" w:sz="0" w:space="0" w:color="auto"/>
        <w:left w:val="none" w:sz="0" w:space="0" w:color="auto"/>
        <w:bottom w:val="none" w:sz="0" w:space="0" w:color="auto"/>
        <w:right w:val="none" w:sz="0" w:space="0" w:color="auto"/>
      </w:divBdr>
    </w:div>
    <w:div w:id="1370447885">
      <w:bodyDiv w:val="1"/>
      <w:marLeft w:val="0"/>
      <w:marRight w:val="0"/>
      <w:marTop w:val="0"/>
      <w:marBottom w:val="0"/>
      <w:divBdr>
        <w:top w:val="none" w:sz="0" w:space="0" w:color="auto"/>
        <w:left w:val="none" w:sz="0" w:space="0" w:color="auto"/>
        <w:bottom w:val="none" w:sz="0" w:space="0" w:color="auto"/>
        <w:right w:val="none" w:sz="0" w:space="0" w:color="auto"/>
      </w:divBdr>
    </w:div>
    <w:div w:id="1378315731">
      <w:bodyDiv w:val="1"/>
      <w:marLeft w:val="0"/>
      <w:marRight w:val="0"/>
      <w:marTop w:val="0"/>
      <w:marBottom w:val="0"/>
      <w:divBdr>
        <w:top w:val="none" w:sz="0" w:space="0" w:color="auto"/>
        <w:left w:val="none" w:sz="0" w:space="0" w:color="auto"/>
        <w:bottom w:val="none" w:sz="0" w:space="0" w:color="auto"/>
        <w:right w:val="none" w:sz="0" w:space="0" w:color="auto"/>
      </w:divBdr>
    </w:div>
    <w:div w:id="1386102799">
      <w:bodyDiv w:val="1"/>
      <w:marLeft w:val="0"/>
      <w:marRight w:val="0"/>
      <w:marTop w:val="0"/>
      <w:marBottom w:val="0"/>
      <w:divBdr>
        <w:top w:val="none" w:sz="0" w:space="0" w:color="auto"/>
        <w:left w:val="none" w:sz="0" w:space="0" w:color="auto"/>
        <w:bottom w:val="none" w:sz="0" w:space="0" w:color="auto"/>
        <w:right w:val="none" w:sz="0" w:space="0" w:color="auto"/>
      </w:divBdr>
    </w:div>
    <w:div w:id="1388609511">
      <w:bodyDiv w:val="1"/>
      <w:marLeft w:val="0"/>
      <w:marRight w:val="0"/>
      <w:marTop w:val="0"/>
      <w:marBottom w:val="0"/>
      <w:divBdr>
        <w:top w:val="none" w:sz="0" w:space="0" w:color="auto"/>
        <w:left w:val="none" w:sz="0" w:space="0" w:color="auto"/>
        <w:bottom w:val="none" w:sz="0" w:space="0" w:color="auto"/>
        <w:right w:val="none" w:sz="0" w:space="0" w:color="auto"/>
      </w:divBdr>
    </w:div>
    <w:div w:id="1397363928">
      <w:bodyDiv w:val="1"/>
      <w:marLeft w:val="0"/>
      <w:marRight w:val="0"/>
      <w:marTop w:val="0"/>
      <w:marBottom w:val="0"/>
      <w:divBdr>
        <w:top w:val="none" w:sz="0" w:space="0" w:color="auto"/>
        <w:left w:val="none" w:sz="0" w:space="0" w:color="auto"/>
        <w:bottom w:val="none" w:sz="0" w:space="0" w:color="auto"/>
        <w:right w:val="none" w:sz="0" w:space="0" w:color="auto"/>
      </w:divBdr>
    </w:div>
    <w:div w:id="1404253252">
      <w:bodyDiv w:val="1"/>
      <w:marLeft w:val="0"/>
      <w:marRight w:val="0"/>
      <w:marTop w:val="0"/>
      <w:marBottom w:val="0"/>
      <w:divBdr>
        <w:top w:val="none" w:sz="0" w:space="0" w:color="auto"/>
        <w:left w:val="none" w:sz="0" w:space="0" w:color="auto"/>
        <w:bottom w:val="none" w:sz="0" w:space="0" w:color="auto"/>
        <w:right w:val="none" w:sz="0" w:space="0" w:color="auto"/>
      </w:divBdr>
    </w:div>
    <w:div w:id="1432965899">
      <w:bodyDiv w:val="1"/>
      <w:marLeft w:val="0"/>
      <w:marRight w:val="0"/>
      <w:marTop w:val="0"/>
      <w:marBottom w:val="0"/>
      <w:divBdr>
        <w:top w:val="none" w:sz="0" w:space="0" w:color="auto"/>
        <w:left w:val="none" w:sz="0" w:space="0" w:color="auto"/>
        <w:bottom w:val="none" w:sz="0" w:space="0" w:color="auto"/>
        <w:right w:val="none" w:sz="0" w:space="0" w:color="auto"/>
      </w:divBdr>
    </w:div>
    <w:div w:id="1513567154">
      <w:bodyDiv w:val="1"/>
      <w:marLeft w:val="0"/>
      <w:marRight w:val="0"/>
      <w:marTop w:val="0"/>
      <w:marBottom w:val="0"/>
      <w:divBdr>
        <w:top w:val="none" w:sz="0" w:space="0" w:color="auto"/>
        <w:left w:val="none" w:sz="0" w:space="0" w:color="auto"/>
        <w:bottom w:val="none" w:sz="0" w:space="0" w:color="auto"/>
        <w:right w:val="none" w:sz="0" w:space="0" w:color="auto"/>
      </w:divBdr>
    </w:div>
    <w:div w:id="1515802038">
      <w:bodyDiv w:val="1"/>
      <w:marLeft w:val="0"/>
      <w:marRight w:val="0"/>
      <w:marTop w:val="0"/>
      <w:marBottom w:val="0"/>
      <w:divBdr>
        <w:top w:val="none" w:sz="0" w:space="0" w:color="auto"/>
        <w:left w:val="none" w:sz="0" w:space="0" w:color="auto"/>
        <w:bottom w:val="none" w:sz="0" w:space="0" w:color="auto"/>
        <w:right w:val="none" w:sz="0" w:space="0" w:color="auto"/>
      </w:divBdr>
    </w:div>
    <w:div w:id="1535272177">
      <w:bodyDiv w:val="1"/>
      <w:marLeft w:val="0"/>
      <w:marRight w:val="0"/>
      <w:marTop w:val="0"/>
      <w:marBottom w:val="0"/>
      <w:divBdr>
        <w:top w:val="none" w:sz="0" w:space="0" w:color="auto"/>
        <w:left w:val="none" w:sz="0" w:space="0" w:color="auto"/>
        <w:bottom w:val="none" w:sz="0" w:space="0" w:color="auto"/>
        <w:right w:val="none" w:sz="0" w:space="0" w:color="auto"/>
      </w:divBdr>
    </w:div>
    <w:div w:id="1545370025">
      <w:bodyDiv w:val="1"/>
      <w:marLeft w:val="0"/>
      <w:marRight w:val="0"/>
      <w:marTop w:val="0"/>
      <w:marBottom w:val="0"/>
      <w:divBdr>
        <w:top w:val="none" w:sz="0" w:space="0" w:color="auto"/>
        <w:left w:val="none" w:sz="0" w:space="0" w:color="auto"/>
        <w:bottom w:val="none" w:sz="0" w:space="0" w:color="auto"/>
        <w:right w:val="none" w:sz="0" w:space="0" w:color="auto"/>
      </w:divBdr>
    </w:div>
    <w:div w:id="1549603631">
      <w:bodyDiv w:val="1"/>
      <w:marLeft w:val="0"/>
      <w:marRight w:val="0"/>
      <w:marTop w:val="0"/>
      <w:marBottom w:val="0"/>
      <w:divBdr>
        <w:top w:val="none" w:sz="0" w:space="0" w:color="auto"/>
        <w:left w:val="none" w:sz="0" w:space="0" w:color="auto"/>
        <w:bottom w:val="none" w:sz="0" w:space="0" w:color="auto"/>
        <w:right w:val="none" w:sz="0" w:space="0" w:color="auto"/>
      </w:divBdr>
    </w:div>
    <w:div w:id="1572815293">
      <w:bodyDiv w:val="1"/>
      <w:marLeft w:val="0"/>
      <w:marRight w:val="0"/>
      <w:marTop w:val="0"/>
      <w:marBottom w:val="0"/>
      <w:divBdr>
        <w:top w:val="none" w:sz="0" w:space="0" w:color="auto"/>
        <w:left w:val="none" w:sz="0" w:space="0" w:color="auto"/>
        <w:bottom w:val="none" w:sz="0" w:space="0" w:color="auto"/>
        <w:right w:val="none" w:sz="0" w:space="0" w:color="auto"/>
      </w:divBdr>
    </w:div>
    <w:div w:id="1582258532">
      <w:bodyDiv w:val="1"/>
      <w:marLeft w:val="0"/>
      <w:marRight w:val="0"/>
      <w:marTop w:val="0"/>
      <w:marBottom w:val="0"/>
      <w:divBdr>
        <w:top w:val="none" w:sz="0" w:space="0" w:color="auto"/>
        <w:left w:val="none" w:sz="0" w:space="0" w:color="auto"/>
        <w:bottom w:val="none" w:sz="0" w:space="0" w:color="auto"/>
        <w:right w:val="none" w:sz="0" w:space="0" w:color="auto"/>
      </w:divBdr>
    </w:div>
    <w:div w:id="1599018325">
      <w:bodyDiv w:val="1"/>
      <w:marLeft w:val="0"/>
      <w:marRight w:val="0"/>
      <w:marTop w:val="0"/>
      <w:marBottom w:val="0"/>
      <w:divBdr>
        <w:top w:val="none" w:sz="0" w:space="0" w:color="auto"/>
        <w:left w:val="none" w:sz="0" w:space="0" w:color="auto"/>
        <w:bottom w:val="none" w:sz="0" w:space="0" w:color="auto"/>
        <w:right w:val="none" w:sz="0" w:space="0" w:color="auto"/>
      </w:divBdr>
    </w:div>
    <w:div w:id="1605070118">
      <w:bodyDiv w:val="1"/>
      <w:marLeft w:val="0"/>
      <w:marRight w:val="0"/>
      <w:marTop w:val="0"/>
      <w:marBottom w:val="0"/>
      <w:divBdr>
        <w:top w:val="none" w:sz="0" w:space="0" w:color="auto"/>
        <w:left w:val="none" w:sz="0" w:space="0" w:color="auto"/>
        <w:bottom w:val="none" w:sz="0" w:space="0" w:color="auto"/>
        <w:right w:val="none" w:sz="0" w:space="0" w:color="auto"/>
      </w:divBdr>
    </w:div>
    <w:div w:id="1607156031">
      <w:bodyDiv w:val="1"/>
      <w:marLeft w:val="0"/>
      <w:marRight w:val="0"/>
      <w:marTop w:val="0"/>
      <w:marBottom w:val="0"/>
      <w:divBdr>
        <w:top w:val="none" w:sz="0" w:space="0" w:color="auto"/>
        <w:left w:val="none" w:sz="0" w:space="0" w:color="auto"/>
        <w:bottom w:val="none" w:sz="0" w:space="0" w:color="auto"/>
        <w:right w:val="none" w:sz="0" w:space="0" w:color="auto"/>
      </w:divBdr>
    </w:div>
    <w:div w:id="1615407854">
      <w:bodyDiv w:val="1"/>
      <w:marLeft w:val="0"/>
      <w:marRight w:val="0"/>
      <w:marTop w:val="0"/>
      <w:marBottom w:val="0"/>
      <w:divBdr>
        <w:top w:val="none" w:sz="0" w:space="0" w:color="auto"/>
        <w:left w:val="none" w:sz="0" w:space="0" w:color="auto"/>
        <w:bottom w:val="none" w:sz="0" w:space="0" w:color="auto"/>
        <w:right w:val="none" w:sz="0" w:space="0" w:color="auto"/>
      </w:divBdr>
    </w:div>
    <w:div w:id="1625309177">
      <w:bodyDiv w:val="1"/>
      <w:marLeft w:val="0"/>
      <w:marRight w:val="0"/>
      <w:marTop w:val="0"/>
      <w:marBottom w:val="0"/>
      <w:divBdr>
        <w:top w:val="none" w:sz="0" w:space="0" w:color="auto"/>
        <w:left w:val="none" w:sz="0" w:space="0" w:color="auto"/>
        <w:bottom w:val="none" w:sz="0" w:space="0" w:color="auto"/>
        <w:right w:val="none" w:sz="0" w:space="0" w:color="auto"/>
      </w:divBdr>
    </w:div>
    <w:div w:id="1677490611">
      <w:bodyDiv w:val="1"/>
      <w:marLeft w:val="0"/>
      <w:marRight w:val="0"/>
      <w:marTop w:val="0"/>
      <w:marBottom w:val="0"/>
      <w:divBdr>
        <w:top w:val="none" w:sz="0" w:space="0" w:color="auto"/>
        <w:left w:val="none" w:sz="0" w:space="0" w:color="auto"/>
        <w:bottom w:val="none" w:sz="0" w:space="0" w:color="auto"/>
        <w:right w:val="none" w:sz="0" w:space="0" w:color="auto"/>
      </w:divBdr>
    </w:div>
    <w:div w:id="1678773605">
      <w:bodyDiv w:val="1"/>
      <w:marLeft w:val="0"/>
      <w:marRight w:val="0"/>
      <w:marTop w:val="0"/>
      <w:marBottom w:val="0"/>
      <w:divBdr>
        <w:top w:val="none" w:sz="0" w:space="0" w:color="auto"/>
        <w:left w:val="none" w:sz="0" w:space="0" w:color="auto"/>
        <w:bottom w:val="none" w:sz="0" w:space="0" w:color="auto"/>
        <w:right w:val="none" w:sz="0" w:space="0" w:color="auto"/>
      </w:divBdr>
    </w:div>
    <w:div w:id="1684700959">
      <w:bodyDiv w:val="1"/>
      <w:marLeft w:val="0"/>
      <w:marRight w:val="0"/>
      <w:marTop w:val="0"/>
      <w:marBottom w:val="0"/>
      <w:divBdr>
        <w:top w:val="none" w:sz="0" w:space="0" w:color="auto"/>
        <w:left w:val="none" w:sz="0" w:space="0" w:color="auto"/>
        <w:bottom w:val="none" w:sz="0" w:space="0" w:color="auto"/>
        <w:right w:val="none" w:sz="0" w:space="0" w:color="auto"/>
      </w:divBdr>
    </w:div>
    <w:div w:id="1708019996">
      <w:bodyDiv w:val="1"/>
      <w:marLeft w:val="0"/>
      <w:marRight w:val="0"/>
      <w:marTop w:val="0"/>
      <w:marBottom w:val="0"/>
      <w:divBdr>
        <w:top w:val="none" w:sz="0" w:space="0" w:color="auto"/>
        <w:left w:val="none" w:sz="0" w:space="0" w:color="auto"/>
        <w:bottom w:val="none" w:sz="0" w:space="0" w:color="auto"/>
        <w:right w:val="none" w:sz="0" w:space="0" w:color="auto"/>
      </w:divBdr>
    </w:div>
    <w:div w:id="1710183199">
      <w:bodyDiv w:val="1"/>
      <w:marLeft w:val="0"/>
      <w:marRight w:val="0"/>
      <w:marTop w:val="0"/>
      <w:marBottom w:val="0"/>
      <w:divBdr>
        <w:top w:val="none" w:sz="0" w:space="0" w:color="auto"/>
        <w:left w:val="none" w:sz="0" w:space="0" w:color="auto"/>
        <w:bottom w:val="none" w:sz="0" w:space="0" w:color="auto"/>
        <w:right w:val="none" w:sz="0" w:space="0" w:color="auto"/>
      </w:divBdr>
    </w:div>
    <w:div w:id="1752315728">
      <w:bodyDiv w:val="1"/>
      <w:marLeft w:val="0"/>
      <w:marRight w:val="0"/>
      <w:marTop w:val="0"/>
      <w:marBottom w:val="0"/>
      <w:divBdr>
        <w:top w:val="none" w:sz="0" w:space="0" w:color="auto"/>
        <w:left w:val="none" w:sz="0" w:space="0" w:color="auto"/>
        <w:bottom w:val="none" w:sz="0" w:space="0" w:color="auto"/>
        <w:right w:val="none" w:sz="0" w:space="0" w:color="auto"/>
      </w:divBdr>
    </w:div>
    <w:div w:id="1784886764">
      <w:bodyDiv w:val="1"/>
      <w:marLeft w:val="0"/>
      <w:marRight w:val="0"/>
      <w:marTop w:val="0"/>
      <w:marBottom w:val="0"/>
      <w:divBdr>
        <w:top w:val="none" w:sz="0" w:space="0" w:color="auto"/>
        <w:left w:val="none" w:sz="0" w:space="0" w:color="auto"/>
        <w:bottom w:val="none" w:sz="0" w:space="0" w:color="auto"/>
        <w:right w:val="none" w:sz="0" w:space="0" w:color="auto"/>
      </w:divBdr>
    </w:div>
    <w:div w:id="1818648369">
      <w:bodyDiv w:val="1"/>
      <w:marLeft w:val="0"/>
      <w:marRight w:val="0"/>
      <w:marTop w:val="0"/>
      <w:marBottom w:val="0"/>
      <w:divBdr>
        <w:top w:val="none" w:sz="0" w:space="0" w:color="auto"/>
        <w:left w:val="none" w:sz="0" w:space="0" w:color="auto"/>
        <w:bottom w:val="none" w:sz="0" w:space="0" w:color="auto"/>
        <w:right w:val="none" w:sz="0" w:space="0" w:color="auto"/>
      </w:divBdr>
    </w:div>
    <w:div w:id="1820073947">
      <w:bodyDiv w:val="1"/>
      <w:marLeft w:val="0"/>
      <w:marRight w:val="0"/>
      <w:marTop w:val="0"/>
      <w:marBottom w:val="0"/>
      <w:divBdr>
        <w:top w:val="none" w:sz="0" w:space="0" w:color="auto"/>
        <w:left w:val="none" w:sz="0" w:space="0" w:color="auto"/>
        <w:bottom w:val="none" w:sz="0" w:space="0" w:color="auto"/>
        <w:right w:val="none" w:sz="0" w:space="0" w:color="auto"/>
      </w:divBdr>
    </w:div>
    <w:div w:id="1824737868">
      <w:bodyDiv w:val="1"/>
      <w:marLeft w:val="0"/>
      <w:marRight w:val="0"/>
      <w:marTop w:val="0"/>
      <w:marBottom w:val="0"/>
      <w:divBdr>
        <w:top w:val="none" w:sz="0" w:space="0" w:color="auto"/>
        <w:left w:val="none" w:sz="0" w:space="0" w:color="auto"/>
        <w:bottom w:val="none" w:sz="0" w:space="0" w:color="auto"/>
        <w:right w:val="none" w:sz="0" w:space="0" w:color="auto"/>
      </w:divBdr>
    </w:div>
    <w:div w:id="1837450170">
      <w:bodyDiv w:val="1"/>
      <w:marLeft w:val="0"/>
      <w:marRight w:val="0"/>
      <w:marTop w:val="0"/>
      <w:marBottom w:val="0"/>
      <w:divBdr>
        <w:top w:val="none" w:sz="0" w:space="0" w:color="auto"/>
        <w:left w:val="none" w:sz="0" w:space="0" w:color="auto"/>
        <w:bottom w:val="none" w:sz="0" w:space="0" w:color="auto"/>
        <w:right w:val="none" w:sz="0" w:space="0" w:color="auto"/>
      </w:divBdr>
    </w:div>
    <w:div w:id="1859074738">
      <w:bodyDiv w:val="1"/>
      <w:marLeft w:val="0"/>
      <w:marRight w:val="0"/>
      <w:marTop w:val="0"/>
      <w:marBottom w:val="0"/>
      <w:divBdr>
        <w:top w:val="none" w:sz="0" w:space="0" w:color="auto"/>
        <w:left w:val="none" w:sz="0" w:space="0" w:color="auto"/>
        <w:bottom w:val="none" w:sz="0" w:space="0" w:color="auto"/>
        <w:right w:val="none" w:sz="0" w:space="0" w:color="auto"/>
      </w:divBdr>
    </w:div>
    <w:div w:id="1871257153">
      <w:bodyDiv w:val="1"/>
      <w:marLeft w:val="0"/>
      <w:marRight w:val="0"/>
      <w:marTop w:val="0"/>
      <w:marBottom w:val="0"/>
      <w:divBdr>
        <w:top w:val="none" w:sz="0" w:space="0" w:color="auto"/>
        <w:left w:val="none" w:sz="0" w:space="0" w:color="auto"/>
        <w:bottom w:val="none" w:sz="0" w:space="0" w:color="auto"/>
        <w:right w:val="none" w:sz="0" w:space="0" w:color="auto"/>
      </w:divBdr>
    </w:div>
    <w:div w:id="1885560413">
      <w:bodyDiv w:val="1"/>
      <w:marLeft w:val="0"/>
      <w:marRight w:val="0"/>
      <w:marTop w:val="0"/>
      <w:marBottom w:val="0"/>
      <w:divBdr>
        <w:top w:val="none" w:sz="0" w:space="0" w:color="auto"/>
        <w:left w:val="none" w:sz="0" w:space="0" w:color="auto"/>
        <w:bottom w:val="none" w:sz="0" w:space="0" w:color="auto"/>
        <w:right w:val="none" w:sz="0" w:space="0" w:color="auto"/>
      </w:divBdr>
    </w:div>
    <w:div w:id="1892694714">
      <w:bodyDiv w:val="1"/>
      <w:marLeft w:val="0"/>
      <w:marRight w:val="0"/>
      <w:marTop w:val="0"/>
      <w:marBottom w:val="0"/>
      <w:divBdr>
        <w:top w:val="none" w:sz="0" w:space="0" w:color="auto"/>
        <w:left w:val="none" w:sz="0" w:space="0" w:color="auto"/>
        <w:bottom w:val="none" w:sz="0" w:space="0" w:color="auto"/>
        <w:right w:val="none" w:sz="0" w:space="0" w:color="auto"/>
      </w:divBdr>
    </w:div>
    <w:div w:id="1918321857">
      <w:bodyDiv w:val="1"/>
      <w:marLeft w:val="0"/>
      <w:marRight w:val="0"/>
      <w:marTop w:val="0"/>
      <w:marBottom w:val="0"/>
      <w:divBdr>
        <w:top w:val="none" w:sz="0" w:space="0" w:color="auto"/>
        <w:left w:val="none" w:sz="0" w:space="0" w:color="auto"/>
        <w:bottom w:val="none" w:sz="0" w:space="0" w:color="auto"/>
        <w:right w:val="none" w:sz="0" w:space="0" w:color="auto"/>
      </w:divBdr>
    </w:div>
    <w:div w:id="1940673280">
      <w:bodyDiv w:val="1"/>
      <w:marLeft w:val="0"/>
      <w:marRight w:val="0"/>
      <w:marTop w:val="0"/>
      <w:marBottom w:val="0"/>
      <w:divBdr>
        <w:top w:val="none" w:sz="0" w:space="0" w:color="auto"/>
        <w:left w:val="none" w:sz="0" w:space="0" w:color="auto"/>
        <w:bottom w:val="none" w:sz="0" w:space="0" w:color="auto"/>
        <w:right w:val="none" w:sz="0" w:space="0" w:color="auto"/>
      </w:divBdr>
    </w:div>
    <w:div w:id="1946645601">
      <w:bodyDiv w:val="1"/>
      <w:marLeft w:val="0"/>
      <w:marRight w:val="0"/>
      <w:marTop w:val="0"/>
      <w:marBottom w:val="0"/>
      <w:divBdr>
        <w:top w:val="none" w:sz="0" w:space="0" w:color="auto"/>
        <w:left w:val="none" w:sz="0" w:space="0" w:color="auto"/>
        <w:bottom w:val="none" w:sz="0" w:space="0" w:color="auto"/>
        <w:right w:val="none" w:sz="0" w:space="0" w:color="auto"/>
      </w:divBdr>
    </w:div>
    <w:div w:id="1948808252">
      <w:bodyDiv w:val="1"/>
      <w:marLeft w:val="0"/>
      <w:marRight w:val="0"/>
      <w:marTop w:val="0"/>
      <w:marBottom w:val="0"/>
      <w:divBdr>
        <w:top w:val="none" w:sz="0" w:space="0" w:color="auto"/>
        <w:left w:val="none" w:sz="0" w:space="0" w:color="auto"/>
        <w:bottom w:val="none" w:sz="0" w:space="0" w:color="auto"/>
        <w:right w:val="none" w:sz="0" w:space="0" w:color="auto"/>
      </w:divBdr>
    </w:div>
    <w:div w:id="1950580106">
      <w:bodyDiv w:val="1"/>
      <w:marLeft w:val="0"/>
      <w:marRight w:val="0"/>
      <w:marTop w:val="0"/>
      <w:marBottom w:val="0"/>
      <w:divBdr>
        <w:top w:val="none" w:sz="0" w:space="0" w:color="auto"/>
        <w:left w:val="none" w:sz="0" w:space="0" w:color="auto"/>
        <w:bottom w:val="none" w:sz="0" w:space="0" w:color="auto"/>
        <w:right w:val="none" w:sz="0" w:space="0" w:color="auto"/>
      </w:divBdr>
    </w:div>
    <w:div w:id="1961064393">
      <w:bodyDiv w:val="1"/>
      <w:marLeft w:val="0"/>
      <w:marRight w:val="0"/>
      <w:marTop w:val="0"/>
      <w:marBottom w:val="0"/>
      <w:divBdr>
        <w:top w:val="none" w:sz="0" w:space="0" w:color="auto"/>
        <w:left w:val="none" w:sz="0" w:space="0" w:color="auto"/>
        <w:bottom w:val="none" w:sz="0" w:space="0" w:color="auto"/>
        <w:right w:val="none" w:sz="0" w:space="0" w:color="auto"/>
      </w:divBdr>
    </w:div>
    <w:div w:id="1966110022">
      <w:bodyDiv w:val="1"/>
      <w:marLeft w:val="0"/>
      <w:marRight w:val="0"/>
      <w:marTop w:val="0"/>
      <w:marBottom w:val="0"/>
      <w:divBdr>
        <w:top w:val="none" w:sz="0" w:space="0" w:color="auto"/>
        <w:left w:val="none" w:sz="0" w:space="0" w:color="auto"/>
        <w:bottom w:val="none" w:sz="0" w:space="0" w:color="auto"/>
        <w:right w:val="none" w:sz="0" w:space="0" w:color="auto"/>
      </w:divBdr>
    </w:div>
    <w:div w:id="1968926444">
      <w:bodyDiv w:val="1"/>
      <w:marLeft w:val="0"/>
      <w:marRight w:val="0"/>
      <w:marTop w:val="0"/>
      <w:marBottom w:val="0"/>
      <w:divBdr>
        <w:top w:val="none" w:sz="0" w:space="0" w:color="auto"/>
        <w:left w:val="none" w:sz="0" w:space="0" w:color="auto"/>
        <w:bottom w:val="none" w:sz="0" w:space="0" w:color="auto"/>
        <w:right w:val="none" w:sz="0" w:space="0" w:color="auto"/>
      </w:divBdr>
    </w:div>
    <w:div w:id="1983775989">
      <w:bodyDiv w:val="1"/>
      <w:marLeft w:val="0"/>
      <w:marRight w:val="0"/>
      <w:marTop w:val="0"/>
      <w:marBottom w:val="0"/>
      <w:divBdr>
        <w:top w:val="none" w:sz="0" w:space="0" w:color="auto"/>
        <w:left w:val="none" w:sz="0" w:space="0" w:color="auto"/>
        <w:bottom w:val="none" w:sz="0" w:space="0" w:color="auto"/>
        <w:right w:val="none" w:sz="0" w:space="0" w:color="auto"/>
      </w:divBdr>
    </w:div>
    <w:div w:id="1988707969">
      <w:bodyDiv w:val="1"/>
      <w:marLeft w:val="0"/>
      <w:marRight w:val="0"/>
      <w:marTop w:val="0"/>
      <w:marBottom w:val="0"/>
      <w:divBdr>
        <w:top w:val="none" w:sz="0" w:space="0" w:color="auto"/>
        <w:left w:val="none" w:sz="0" w:space="0" w:color="auto"/>
        <w:bottom w:val="none" w:sz="0" w:space="0" w:color="auto"/>
        <w:right w:val="none" w:sz="0" w:space="0" w:color="auto"/>
      </w:divBdr>
    </w:div>
    <w:div w:id="2014333711">
      <w:bodyDiv w:val="1"/>
      <w:marLeft w:val="0"/>
      <w:marRight w:val="0"/>
      <w:marTop w:val="0"/>
      <w:marBottom w:val="0"/>
      <w:divBdr>
        <w:top w:val="none" w:sz="0" w:space="0" w:color="auto"/>
        <w:left w:val="none" w:sz="0" w:space="0" w:color="auto"/>
        <w:bottom w:val="none" w:sz="0" w:space="0" w:color="auto"/>
        <w:right w:val="none" w:sz="0" w:space="0" w:color="auto"/>
      </w:divBdr>
    </w:div>
    <w:div w:id="2016960626">
      <w:bodyDiv w:val="1"/>
      <w:marLeft w:val="0"/>
      <w:marRight w:val="0"/>
      <w:marTop w:val="0"/>
      <w:marBottom w:val="0"/>
      <w:divBdr>
        <w:top w:val="none" w:sz="0" w:space="0" w:color="auto"/>
        <w:left w:val="none" w:sz="0" w:space="0" w:color="auto"/>
        <w:bottom w:val="none" w:sz="0" w:space="0" w:color="auto"/>
        <w:right w:val="none" w:sz="0" w:space="0" w:color="auto"/>
      </w:divBdr>
    </w:div>
    <w:div w:id="2032412938">
      <w:bodyDiv w:val="1"/>
      <w:marLeft w:val="0"/>
      <w:marRight w:val="0"/>
      <w:marTop w:val="0"/>
      <w:marBottom w:val="0"/>
      <w:divBdr>
        <w:top w:val="none" w:sz="0" w:space="0" w:color="auto"/>
        <w:left w:val="none" w:sz="0" w:space="0" w:color="auto"/>
        <w:bottom w:val="none" w:sz="0" w:space="0" w:color="auto"/>
        <w:right w:val="none" w:sz="0" w:space="0" w:color="auto"/>
      </w:divBdr>
    </w:div>
    <w:div w:id="2059014192">
      <w:bodyDiv w:val="1"/>
      <w:marLeft w:val="0"/>
      <w:marRight w:val="0"/>
      <w:marTop w:val="0"/>
      <w:marBottom w:val="0"/>
      <w:divBdr>
        <w:top w:val="none" w:sz="0" w:space="0" w:color="auto"/>
        <w:left w:val="none" w:sz="0" w:space="0" w:color="auto"/>
        <w:bottom w:val="none" w:sz="0" w:space="0" w:color="auto"/>
        <w:right w:val="none" w:sz="0" w:space="0" w:color="auto"/>
      </w:divBdr>
    </w:div>
    <w:div w:id="2080590803">
      <w:bodyDiv w:val="1"/>
      <w:marLeft w:val="0"/>
      <w:marRight w:val="0"/>
      <w:marTop w:val="0"/>
      <w:marBottom w:val="0"/>
      <w:divBdr>
        <w:top w:val="none" w:sz="0" w:space="0" w:color="auto"/>
        <w:left w:val="none" w:sz="0" w:space="0" w:color="auto"/>
        <w:bottom w:val="none" w:sz="0" w:space="0" w:color="auto"/>
        <w:right w:val="none" w:sz="0" w:space="0" w:color="auto"/>
      </w:divBdr>
    </w:div>
    <w:div w:id="2106612055">
      <w:bodyDiv w:val="1"/>
      <w:marLeft w:val="0"/>
      <w:marRight w:val="0"/>
      <w:marTop w:val="0"/>
      <w:marBottom w:val="0"/>
      <w:divBdr>
        <w:top w:val="none" w:sz="0" w:space="0" w:color="auto"/>
        <w:left w:val="none" w:sz="0" w:space="0" w:color="auto"/>
        <w:bottom w:val="none" w:sz="0" w:space="0" w:color="auto"/>
        <w:right w:val="none" w:sz="0" w:space="0" w:color="auto"/>
      </w:divBdr>
    </w:div>
    <w:div w:id="2137067153">
      <w:bodyDiv w:val="1"/>
      <w:marLeft w:val="0"/>
      <w:marRight w:val="0"/>
      <w:marTop w:val="0"/>
      <w:marBottom w:val="0"/>
      <w:divBdr>
        <w:top w:val="none" w:sz="0" w:space="0" w:color="auto"/>
        <w:left w:val="none" w:sz="0" w:space="0" w:color="auto"/>
        <w:bottom w:val="none" w:sz="0" w:space="0" w:color="auto"/>
        <w:right w:val="none" w:sz="0" w:space="0" w:color="auto"/>
      </w:divBdr>
    </w:div>
    <w:div w:id="2144343232">
      <w:bodyDiv w:val="1"/>
      <w:marLeft w:val="0"/>
      <w:marRight w:val="0"/>
      <w:marTop w:val="0"/>
      <w:marBottom w:val="0"/>
      <w:divBdr>
        <w:top w:val="none" w:sz="0" w:space="0" w:color="auto"/>
        <w:left w:val="none" w:sz="0" w:space="0" w:color="auto"/>
        <w:bottom w:val="none" w:sz="0" w:space="0" w:color="auto"/>
        <w:right w:val="none" w:sz="0" w:space="0" w:color="auto"/>
      </w:divBdr>
    </w:div>
    <w:div w:id="21450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sc-ccsn.gc.ca/eng/resources/status-of-new-nuclear-projects/darlington/index.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clearsafety.gc.ca/eng/the-commission/hearings/documents_browse/index.cfm?yr=2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ontario.ca/books/solgen-emo-pnerp-master-plan-2017-en-2022-01-0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pen.canada.ca/data/en/dataset/0968ddc5-710e-4388-b379-184764df6f4c" TargetMode="External"/><Relationship Id="rId4" Type="http://schemas.openxmlformats.org/officeDocument/2006/relationships/settings" Target="settings.xml"/><Relationship Id="rId9" Type="http://schemas.openxmlformats.org/officeDocument/2006/relationships/hyperlink" Target="https://www.ceaa-acee.gc.ca/archives/evaluations/29525/document-html-eng_did=5554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31D87-4C25-4C72-B507-456AC177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122</Pages>
  <Words>21114</Words>
  <Characters>120354</Characters>
  <Application>Microsoft Office Word</Application>
  <DocSecurity>4</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MacLellan</dc:creator>
  <cp:keywords/>
  <dc:description/>
  <cp:lastModifiedBy>Ross, Wesley</cp:lastModifiedBy>
  <cp:revision>2</cp:revision>
  <dcterms:created xsi:type="dcterms:W3CDTF">2023-10-30T15:42:00Z</dcterms:created>
  <dcterms:modified xsi:type="dcterms:W3CDTF">2023-10-30T15:42:00Z</dcterms:modified>
</cp:coreProperties>
</file>