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180" w:type="dxa"/>
        <w:tblInd w:w="-455" w:type="dxa"/>
        <w:tblLayout w:type="fixed"/>
        <w:tblCellMar>
          <w:left w:w="10" w:type="dxa"/>
          <w:right w:w="10" w:type="dxa"/>
        </w:tblCellMar>
        <w:tblLook w:val="0000" w:firstRow="0" w:lastRow="0" w:firstColumn="0" w:lastColumn="0" w:noHBand="0" w:noVBand="0"/>
      </w:tblPr>
      <w:tblGrid>
        <w:gridCol w:w="540"/>
        <w:gridCol w:w="1620"/>
        <w:gridCol w:w="5013"/>
        <w:gridCol w:w="3960"/>
        <w:gridCol w:w="1431"/>
        <w:gridCol w:w="5616"/>
      </w:tblGrid>
      <w:tr w:rsidR="005807FC" w:rsidRPr="007D2238" w14:paraId="45EA2FBF" w14:textId="77777777" w:rsidTr="005807FC">
        <w:trPr>
          <w:trHeight w:val="601"/>
          <w:tblHeader/>
        </w:trPr>
        <w:tc>
          <w:tcPr>
            <w:tcW w:w="54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08B03800" w14:textId="097FC32B" w:rsidR="005807FC" w:rsidRPr="00E676E5" w:rsidRDefault="005807FC" w:rsidP="002B46D5">
            <w:pPr>
              <w:pStyle w:val="NoSpacing"/>
              <w:spacing w:after="120"/>
              <w:jc w:val="both"/>
              <w:rPr>
                <w:rFonts w:cs="Calibri"/>
                <w:b/>
                <w:bCs/>
                <w:color w:val="275317" w:themeColor="accent6" w:themeShade="80"/>
                <w:sz w:val="20"/>
                <w:szCs w:val="20"/>
              </w:rPr>
            </w:pPr>
            <w:r w:rsidRPr="00E676E5">
              <w:rPr>
                <w:rFonts w:cs="Calibri"/>
                <w:b/>
                <w:bCs/>
                <w:sz w:val="20"/>
                <w:szCs w:val="20"/>
              </w:rPr>
              <w:t>#</w:t>
            </w:r>
          </w:p>
        </w:tc>
        <w:tc>
          <w:tcPr>
            <w:tcW w:w="162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4E3F37D9" w14:textId="3388C177" w:rsidR="005807FC" w:rsidRPr="00640450" w:rsidRDefault="005807FC" w:rsidP="002B46D5">
            <w:pPr>
              <w:spacing w:after="120" w:line="240" w:lineRule="auto"/>
              <w:rPr>
                <w:rFonts w:cs="Calibri"/>
                <w:b/>
                <w:bCs/>
                <w:sz w:val="20"/>
                <w:szCs w:val="20"/>
              </w:rPr>
            </w:pPr>
            <w:r w:rsidRPr="00640450">
              <w:rPr>
                <w:rFonts w:cs="Calibri"/>
                <w:b/>
                <w:bCs/>
                <w:sz w:val="20"/>
                <w:szCs w:val="20"/>
              </w:rPr>
              <w:t xml:space="preserve">    Section </w:t>
            </w:r>
          </w:p>
        </w:tc>
        <w:tc>
          <w:tcPr>
            <w:tcW w:w="5013"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7DE3C681" w14:textId="6A92A63F" w:rsidR="005807FC" w:rsidRPr="00E676E5" w:rsidRDefault="005807FC" w:rsidP="002B46D5">
            <w:pPr>
              <w:spacing w:after="120" w:line="240" w:lineRule="auto"/>
              <w:rPr>
                <w:rFonts w:cs="Calibri"/>
                <w:b/>
                <w:bCs/>
                <w:sz w:val="20"/>
                <w:szCs w:val="20"/>
              </w:rPr>
            </w:pPr>
            <w:r w:rsidRPr="00E676E5">
              <w:rPr>
                <w:rFonts w:cs="Calibri"/>
                <w:b/>
                <w:bCs/>
                <w:sz w:val="20"/>
                <w:szCs w:val="20"/>
              </w:rPr>
              <w:t xml:space="preserve">Industry issue  </w:t>
            </w:r>
          </w:p>
        </w:tc>
        <w:tc>
          <w:tcPr>
            <w:tcW w:w="396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C326B1E" w14:textId="6267DDB1" w:rsidR="005807FC" w:rsidRPr="00E676E5" w:rsidRDefault="005807FC" w:rsidP="002B46D5">
            <w:pPr>
              <w:spacing w:after="120" w:line="240" w:lineRule="auto"/>
              <w:rPr>
                <w:rFonts w:cs="Calibri"/>
                <w:b/>
                <w:bCs/>
                <w:sz w:val="20"/>
                <w:szCs w:val="20"/>
              </w:rPr>
            </w:pPr>
            <w:r w:rsidRPr="00E676E5">
              <w:rPr>
                <w:rFonts w:cs="Calibri"/>
                <w:b/>
                <w:bCs/>
                <w:sz w:val="20"/>
                <w:szCs w:val="20"/>
              </w:rPr>
              <w:t>Suggested change</w:t>
            </w:r>
          </w:p>
        </w:tc>
        <w:tc>
          <w:tcPr>
            <w:tcW w:w="1431"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04076548" w14:textId="448CFF43" w:rsidR="005807FC" w:rsidRPr="00640450" w:rsidRDefault="005807FC" w:rsidP="002B46D5">
            <w:pPr>
              <w:spacing w:after="120" w:line="240" w:lineRule="auto"/>
              <w:ind w:left="-108"/>
              <w:jc w:val="center"/>
              <w:rPr>
                <w:rFonts w:cs="Calibri"/>
                <w:b/>
                <w:bCs/>
                <w:sz w:val="20"/>
                <w:szCs w:val="20"/>
              </w:rPr>
            </w:pPr>
            <w:r w:rsidRPr="00640450">
              <w:rPr>
                <w:rFonts w:cs="Calibri"/>
                <w:b/>
                <w:bCs/>
                <w:sz w:val="20"/>
                <w:szCs w:val="20"/>
              </w:rPr>
              <w:t>Major/ Clarification</w:t>
            </w:r>
          </w:p>
        </w:tc>
        <w:tc>
          <w:tcPr>
            <w:tcW w:w="561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304443CF" w14:textId="61F9340C" w:rsidR="005807FC" w:rsidRPr="00E676E5" w:rsidRDefault="005807FC" w:rsidP="002B46D5">
            <w:pPr>
              <w:spacing w:after="120" w:line="240" w:lineRule="auto"/>
              <w:rPr>
                <w:rFonts w:cs="Calibri"/>
                <w:b/>
                <w:bCs/>
                <w:sz w:val="20"/>
                <w:szCs w:val="20"/>
              </w:rPr>
            </w:pPr>
            <w:r w:rsidRPr="00E676E5">
              <w:rPr>
                <w:rFonts w:cs="Calibri"/>
                <w:b/>
                <w:bCs/>
                <w:sz w:val="20"/>
                <w:szCs w:val="20"/>
              </w:rPr>
              <w:t>Impact on industry</w:t>
            </w:r>
          </w:p>
        </w:tc>
      </w:tr>
      <w:tr w:rsidR="005807FC" w:rsidRPr="007D2238" w14:paraId="699CD06B" w14:textId="77777777" w:rsidTr="005807FC">
        <w:trPr>
          <w:trHeight w:val="110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FB4D" w14:textId="77777777" w:rsidR="005807FC" w:rsidRPr="00E676E5" w:rsidRDefault="005807FC" w:rsidP="00E069AB">
            <w:pPr>
              <w:pStyle w:val="ListParagraph"/>
              <w:numPr>
                <w:ilvl w:val="0"/>
                <w:numId w:val="36"/>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2EDFFF" w14:textId="3363A6E4" w:rsidR="005807FC" w:rsidRPr="00640450" w:rsidRDefault="005807FC" w:rsidP="002B46D5">
            <w:pPr>
              <w:spacing w:after="120" w:line="240" w:lineRule="auto"/>
              <w:rPr>
                <w:rFonts w:cs="Calibri"/>
                <w:sz w:val="20"/>
                <w:szCs w:val="20"/>
              </w:rPr>
            </w:pPr>
            <w:r w:rsidRPr="00640450">
              <w:rPr>
                <w:rFonts w:cs="Calibri"/>
                <w:sz w:val="20"/>
                <w:szCs w:val="20"/>
              </w:rPr>
              <w:t>Overview</w:t>
            </w:r>
          </w:p>
        </w:tc>
        <w:tc>
          <w:tcPr>
            <w:tcW w:w="160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84EC2" w14:textId="1FB3B7C9" w:rsidR="005807FC" w:rsidRPr="00640450" w:rsidRDefault="005807FC" w:rsidP="000D0819">
            <w:pPr>
              <w:spacing w:after="120" w:line="240" w:lineRule="auto"/>
              <w:rPr>
                <w:rFonts w:cs="Calibri"/>
                <w:sz w:val="20"/>
                <w:szCs w:val="20"/>
              </w:rPr>
            </w:pPr>
            <w:r w:rsidRPr="00640450">
              <w:rPr>
                <w:rFonts w:cs="Calibri"/>
                <w:sz w:val="20"/>
                <w:szCs w:val="20"/>
              </w:rPr>
              <w:t xml:space="preserve">Industry appreciates the opportunity to comment on this discussion paper, DIS-24-01.   Our commentary focuses on improving the clarity of the proposed changes for the regulatory amendments.  We have also taken the opportunity to make recommendations on additional amendments as well as suggesting further revisions and refinements. </w:t>
            </w:r>
          </w:p>
          <w:p w14:paraId="057B9FFE" w14:textId="75548CDD" w:rsidR="005807FC" w:rsidRPr="00640450" w:rsidRDefault="005807FC" w:rsidP="000D0819">
            <w:pPr>
              <w:spacing w:after="120" w:line="240" w:lineRule="auto"/>
              <w:rPr>
                <w:rFonts w:cs="Calibri"/>
                <w:sz w:val="20"/>
                <w:szCs w:val="20"/>
              </w:rPr>
            </w:pPr>
            <w:r w:rsidRPr="00640450">
              <w:rPr>
                <w:rFonts w:cs="Calibri"/>
                <w:sz w:val="20"/>
                <w:szCs w:val="20"/>
              </w:rPr>
              <w:t xml:space="preserve">Following a collective review including radiation safety officers, packaging and transportation specialists, transportation of dangerous goods coordinators, and regulatory affairs personnel; licensees have identified several areas requiring clarification as well as several areas of concern.  The feedback is broken in to </w:t>
            </w:r>
            <w:r w:rsidRPr="00640450">
              <w:rPr>
                <w:rFonts w:cs="Calibri"/>
                <w:i/>
                <w:iCs/>
                <w:sz w:val="20"/>
                <w:szCs w:val="20"/>
              </w:rPr>
              <w:t>Major</w:t>
            </w:r>
            <w:r w:rsidRPr="00640450">
              <w:rPr>
                <w:rFonts w:cs="Calibri"/>
                <w:sz w:val="20"/>
                <w:szCs w:val="20"/>
              </w:rPr>
              <w:t xml:space="preserve"> or requests for </w:t>
            </w:r>
            <w:r w:rsidRPr="00640450">
              <w:rPr>
                <w:rFonts w:cs="Calibri"/>
                <w:i/>
                <w:iCs/>
                <w:sz w:val="20"/>
                <w:szCs w:val="20"/>
              </w:rPr>
              <w:t>Clarification</w:t>
            </w:r>
            <w:r w:rsidRPr="00640450">
              <w:rPr>
                <w:rFonts w:cs="Calibri"/>
                <w:sz w:val="20"/>
                <w:szCs w:val="20"/>
              </w:rPr>
              <w:t xml:space="preserve"> comments.  Of note, below we highlight two themes, which are of particular importance and supported by the comments identified as Major.  These include:</w:t>
            </w:r>
          </w:p>
          <w:p w14:paraId="2E85F41E" w14:textId="4FFBB736" w:rsidR="005807FC" w:rsidRPr="00640450" w:rsidRDefault="005807FC" w:rsidP="00E51FED">
            <w:pPr>
              <w:pStyle w:val="ListParagraph"/>
              <w:numPr>
                <w:ilvl w:val="0"/>
                <w:numId w:val="39"/>
              </w:numPr>
              <w:spacing w:after="0" w:line="240" w:lineRule="auto"/>
              <w:ind w:left="720"/>
              <w:rPr>
                <w:rFonts w:cs="Calibri"/>
                <w:sz w:val="20"/>
                <w:szCs w:val="20"/>
              </w:rPr>
            </w:pPr>
            <w:r w:rsidRPr="00640450">
              <w:rPr>
                <w:rFonts w:cs="Calibri"/>
                <w:i/>
                <w:iCs/>
                <w:sz w:val="20"/>
                <w:szCs w:val="20"/>
              </w:rPr>
              <w:t>Loss of conservatism</w:t>
            </w:r>
            <w:r w:rsidRPr="00640450">
              <w:rPr>
                <w:rFonts w:cs="Calibri"/>
                <w:sz w:val="20"/>
                <w:szCs w:val="20"/>
              </w:rPr>
              <w:t xml:space="preserve"> – there are several recommendations which appear to be contrary to the conservative decision-making approach that is a foundation of, and integrated into, the Canadian nuclear industry.  Industry strongly opposes any changes that will erode and/or jeopardize conservative decision-making. </w:t>
            </w:r>
          </w:p>
          <w:p w14:paraId="4A5CEA7E" w14:textId="2CE27982" w:rsidR="005807FC" w:rsidRPr="00640450" w:rsidRDefault="005807FC" w:rsidP="00E51FED">
            <w:pPr>
              <w:pStyle w:val="ListParagraph"/>
              <w:numPr>
                <w:ilvl w:val="0"/>
                <w:numId w:val="39"/>
              </w:numPr>
              <w:spacing w:after="0" w:line="240" w:lineRule="auto"/>
              <w:ind w:left="720"/>
              <w:rPr>
                <w:rFonts w:cs="Calibri"/>
                <w:sz w:val="20"/>
                <w:szCs w:val="20"/>
              </w:rPr>
            </w:pPr>
            <w:r w:rsidRPr="00640450">
              <w:rPr>
                <w:rFonts w:cs="Calibri"/>
                <w:i/>
                <w:iCs/>
                <w:sz w:val="20"/>
                <w:szCs w:val="20"/>
              </w:rPr>
              <w:t>Inconsistencies with other regulatory regimes</w:t>
            </w:r>
            <w:r w:rsidRPr="00640450">
              <w:rPr>
                <w:rFonts w:cs="Calibri"/>
                <w:sz w:val="20"/>
                <w:szCs w:val="20"/>
              </w:rPr>
              <w:t xml:space="preserve"> – the proposed amendments overlook opportunities to align these regulations with existing international regulations.  Without these amendments, these regulations will continue to impose special requirements in Canada not required internationally; consequently, this will continue to impose undue burden on Canadian companies and reduces our competitiveness internationally; for example, the requirement of continued use of special packages not used by similar industry worldwide, with no safety benefit.</w:t>
            </w:r>
          </w:p>
        </w:tc>
      </w:tr>
      <w:tr w:rsidR="005807FC" w:rsidRPr="007D2238" w14:paraId="411580FA" w14:textId="77777777" w:rsidTr="005807FC">
        <w:trPr>
          <w:trHeight w:val="110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DBFD" w14:textId="77777777" w:rsidR="005807FC" w:rsidRPr="00E069AB" w:rsidRDefault="005807FC" w:rsidP="00E069AB">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7DF174" w14:textId="0043DD6F" w:rsidR="005807FC" w:rsidRPr="00640450" w:rsidRDefault="005807FC" w:rsidP="002B46D5">
            <w:pPr>
              <w:spacing w:after="120" w:line="240" w:lineRule="auto"/>
              <w:rPr>
                <w:rFonts w:cs="Calibri"/>
                <w:sz w:val="20"/>
                <w:szCs w:val="20"/>
              </w:rPr>
            </w:pPr>
            <w:r w:rsidRPr="00640450">
              <w:rPr>
                <w:rFonts w:cs="Calibri"/>
                <w:sz w:val="20"/>
                <w:szCs w:val="20"/>
              </w:rPr>
              <w:t>All</w:t>
            </w: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4FB2E" w14:textId="46928998" w:rsidR="005807FC" w:rsidRPr="00640450" w:rsidRDefault="005807FC" w:rsidP="002B46D5">
            <w:pPr>
              <w:spacing w:after="120" w:line="240" w:lineRule="auto"/>
              <w:rPr>
                <w:rFonts w:cs="Calibri"/>
                <w:sz w:val="20"/>
                <w:szCs w:val="20"/>
              </w:rPr>
            </w:pPr>
            <w:r w:rsidRPr="00640450">
              <w:rPr>
                <w:rFonts w:cs="Calibri"/>
                <w:sz w:val="20"/>
                <w:szCs w:val="20"/>
              </w:rPr>
              <w:t>Where a reference to the RPRs is necessary for alignment in PTNSR or NSRDR, do not repeat dose limits, monitoring dose, etc. Simply refer to RPRs (section).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50EAB" w14:textId="596BB8D6" w:rsidR="005807FC" w:rsidRPr="00640450" w:rsidRDefault="005807FC" w:rsidP="002B46D5">
            <w:pPr>
              <w:spacing w:after="120" w:line="240" w:lineRule="auto"/>
              <w:rPr>
                <w:rFonts w:cs="Calibri"/>
                <w:sz w:val="20"/>
                <w:szCs w:val="20"/>
              </w:rPr>
            </w:pPr>
            <w:r w:rsidRPr="00640450">
              <w:rPr>
                <w:rFonts w:cs="Calibri"/>
                <w:sz w:val="20"/>
                <w:szCs w:val="20"/>
              </w:rPr>
              <w:t xml:space="preserve">Avoid explicit re-statement of requirements documented in the RPRs. For efficiency, refer to the RPR section, as this will reduce any discrepancies as the RPRs are updated. </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92BC" w14:textId="0F6E2329" w:rsidR="005807FC" w:rsidRPr="00640450" w:rsidRDefault="005807FC" w:rsidP="002B46D5">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9FD41" w14:textId="7EB574BE" w:rsidR="005807FC" w:rsidRPr="00E676E5" w:rsidRDefault="005807FC" w:rsidP="002B46D5">
            <w:pPr>
              <w:spacing w:after="120" w:line="240" w:lineRule="auto"/>
              <w:rPr>
                <w:rFonts w:cs="Calibri"/>
                <w:color w:val="000000" w:themeColor="text1"/>
                <w:sz w:val="20"/>
                <w:szCs w:val="20"/>
              </w:rPr>
            </w:pPr>
          </w:p>
        </w:tc>
      </w:tr>
      <w:tr w:rsidR="005807FC" w:rsidRPr="007D2238" w14:paraId="0E4CE2FF" w14:textId="77777777" w:rsidTr="005807FC">
        <w:trPr>
          <w:trHeight w:val="1387"/>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DCF26" w14:textId="77777777" w:rsidR="005807FC" w:rsidRPr="00E069AB" w:rsidRDefault="005807FC" w:rsidP="00E069AB">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139774" w14:textId="236A8EA2" w:rsidR="005807FC" w:rsidRPr="00640450" w:rsidRDefault="005807FC" w:rsidP="002B46D5">
            <w:pPr>
              <w:spacing w:after="120" w:line="240" w:lineRule="auto"/>
              <w:rPr>
                <w:rFonts w:eastAsia="Times New Roman" w:cs="Calibri"/>
                <w:sz w:val="20"/>
                <w:szCs w:val="20"/>
              </w:rPr>
            </w:pPr>
            <w:r w:rsidRPr="00640450">
              <w:rPr>
                <w:rFonts w:eastAsia="Times New Roman" w:cs="Calibri"/>
                <w:sz w:val="20"/>
                <w:szCs w:val="20"/>
              </w:rPr>
              <w:t>5. Considerations for Potential Amendments to the Regulations and Anticipated Impacts</w:t>
            </w:r>
          </w:p>
          <w:p w14:paraId="5E4ABBA7" w14:textId="77777777" w:rsidR="005807FC" w:rsidRPr="00640450" w:rsidRDefault="005807FC" w:rsidP="002B46D5">
            <w:pPr>
              <w:spacing w:after="120" w:line="240" w:lineRule="auto"/>
              <w:rPr>
                <w:rFonts w:eastAsia="Times New Roman" w:cs="Calibri"/>
                <w:sz w:val="20"/>
                <w:szCs w:val="20"/>
              </w:rPr>
            </w:pPr>
          </w:p>
          <w:p w14:paraId="070A6C5F" w14:textId="390B7264" w:rsidR="005807FC" w:rsidRPr="00640450" w:rsidRDefault="005807FC" w:rsidP="002B46D5">
            <w:pPr>
              <w:spacing w:after="120" w:line="240" w:lineRule="auto"/>
              <w:rPr>
                <w:rFonts w:cs="Calibri"/>
                <w:sz w:val="20"/>
                <w:szCs w:val="20"/>
              </w:rPr>
            </w:pP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42E6A" w14:textId="4E22719E" w:rsidR="005807FC" w:rsidRPr="00E676E5" w:rsidRDefault="005807FC" w:rsidP="002B46D5">
            <w:pPr>
              <w:spacing w:after="120" w:line="240" w:lineRule="auto"/>
              <w:rPr>
                <w:rFonts w:eastAsia="Times New Roman" w:cs="Calibri"/>
                <w:sz w:val="20"/>
                <w:szCs w:val="20"/>
              </w:rPr>
            </w:pPr>
            <w:r w:rsidRPr="00E676E5">
              <w:rPr>
                <w:rFonts w:eastAsia="Times New Roman" w:cs="Calibri"/>
                <w:sz w:val="20"/>
                <w:szCs w:val="20"/>
              </w:rPr>
              <w:t>The CNSC should streamline the PTNSR with the IAEA Regulations and remove the 3% restriction as demonstrated by the following example:</w:t>
            </w:r>
          </w:p>
          <w:p w14:paraId="5593D70F" w14:textId="49EEA887" w:rsidR="005807FC" w:rsidRPr="00E676E5" w:rsidRDefault="005807FC" w:rsidP="002B46D5">
            <w:pPr>
              <w:spacing w:after="120" w:line="240" w:lineRule="auto"/>
              <w:rPr>
                <w:rFonts w:eastAsia="Times New Roman" w:cs="Calibri"/>
                <w:sz w:val="20"/>
                <w:szCs w:val="20"/>
              </w:rPr>
            </w:pPr>
            <w:r w:rsidRPr="00E676E5">
              <w:rPr>
                <w:rFonts w:eastAsia="Times New Roman" w:cs="Calibri"/>
                <w:sz w:val="20"/>
                <w:szCs w:val="20"/>
              </w:rPr>
              <w:t>The definition of Low Specific Activity (LSA-I) material found in 5(1)(a) of the PTNSR should be harmonized with the IAEA SSR-6 Regulations definition and the 3% limit removed. </w:t>
            </w:r>
          </w:p>
          <w:p w14:paraId="6EA29AD6" w14:textId="2828E85E" w:rsidR="005807FC" w:rsidRPr="00E676E5" w:rsidRDefault="005807FC" w:rsidP="002B46D5">
            <w:pPr>
              <w:spacing w:after="120" w:line="240" w:lineRule="auto"/>
              <w:rPr>
                <w:rFonts w:cs="Calibri"/>
                <w:color w:val="000000"/>
                <w:sz w:val="20"/>
                <w:szCs w:val="20"/>
                <w:lang w:eastAsia="en-CA"/>
              </w:rPr>
            </w:pPr>
            <w:r w:rsidRPr="00E676E5">
              <w:rPr>
                <w:rFonts w:cs="Calibri"/>
                <w:color w:val="000000"/>
                <w:sz w:val="20"/>
                <w:szCs w:val="20"/>
                <w:lang w:eastAsia="en-CA"/>
              </w:rPr>
              <w:t xml:space="preserve">It is understood the three per cent by mass restriction on ores containing naturally occurring radionuclides is due to the unique situation found in Canada with ores having a significantly higher uranium concentration than other countries.  However, the basis for selecting 3% mass restriction on ores is not justified both on a radiation protection basis and activity limit.  </w:t>
            </w:r>
          </w:p>
          <w:p w14:paraId="7642FCF9" w14:textId="77777777" w:rsidR="005807FC" w:rsidRPr="00E676E5" w:rsidRDefault="005807FC" w:rsidP="002B46D5">
            <w:pPr>
              <w:spacing w:after="120" w:line="240" w:lineRule="auto"/>
              <w:rPr>
                <w:rFonts w:cs="Calibri"/>
                <w:color w:val="000000"/>
                <w:sz w:val="20"/>
                <w:szCs w:val="20"/>
                <w:lang w:val="en-US" w:eastAsia="en-CA"/>
              </w:rPr>
            </w:pPr>
            <w:r w:rsidRPr="00E676E5">
              <w:rPr>
                <w:rFonts w:cs="Calibri"/>
                <w:color w:val="000000"/>
                <w:sz w:val="20"/>
                <w:szCs w:val="20"/>
                <w:lang w:val="en-US" w:eastAsia="en-CA"/>
              </w:rPr>
              <w:t>With respect to the activity limits, the definition of LSA material in the IAEA TS-G-1.1 advisory material indicates that the limit for low specific activity material is 10</w:t>
            </w:r>
            <w:r w:rsidRPr="00E676E5">
              <w:rPr>
                <w:rFonts w:cs="Calibri"/>
                <w:color w:val="000000"/>
                <w:sz w:val="20"/>
                <w:szCs w:val="20"/>
                <w:vertAlign w:val="superscript"/>
                <w:lang w:val="en-US" w:eastAsia="en-CA"/>
              </w:rPr>
              <w:t>-4</w:t>
            </w:r>
            <w:r w:rsidRPr="00E676E5">
              <w:rPr>
                <w:rFonts w:cs="Calibri"/>
                <w:color w:val="000000"/>
                <w:sz w:val="20"/>
                <w:szCs w:val="20"/>
                <w:lang w:val="en-US" w:eastAsia="en-CA"/>
              </w:rPr>
              <w:t xml:space="preserve"> A</w:t>
            </w:r>
            <w:r w:rsidRPr="00E676E5">
              <w:rPr>
                <w:rFonts w:cs="Calibri"/>
                <w:color w:val="000000"/>
                <w:sz w:val="20"/>
                <w:szCs w:val="20"/>
                <w:vertAlign w:val="subscript"/>
                <w:lang w:val="en-US" w:eastAsia="en-CA"/>
              </w:rPr>
              <w:t>2</w:t>
            </w:r>
            <w:r w:rsidRPr="00E676E5">
              <w:rPr>
                <w:rFonts w:cs="Calibri"/>
                <w:color w:val="000000"/>
                <w:sz w:val="20"/>
                <w:szCs w:val="20"/>
                <w:lang w:val="en-US" w:eastAsia="en-CA"/>
              </w:rPr>
              <w:t xml:space="preserve">/g.  Based on the table below the calculated </w:t>
            </w:r>
            <w:proofErr w:type="spellStart"/>
            <w:r w:rsidRPr="00E676E5">
              <w:rPr>
                <w:rFonts w:cs="Calibri"/>
                <w:color w:val="000000"/>
                <w:sz w:val="20"/>
                <w:szCs w:val="20"/>
                <w:lang w:val="en-US" w:eastAsia="en-CA"/>
              </w:rPr>
              <w:t>Xm</w:t>
            </w:r>
            <w:proofErr w:type="spellEnd"/>
            <w:r w:rsidRPr="00E676E5">
              <w:rPr>
                <w:rFonts w:cs="Calibri"/>
                <w:color w:val="000000"/>
                <w:sz w:val="20"/>
                <w:szCs w:val="20"/>
                <w:lang w:val="en-US" w:eastAsia="en-CA"/>
              </w:rPr>
              <w:t xml:space="preserve"> value for the 16 isotopes found in the uranium decay chain is 4.44 </w:t>
            </w:r>
            <w:proofErr w:type="spellStart"/>
            <w:r w:rsidRPr="00E676E5">
              <w:rPr>
                <w:rFonts w:cs="Calibri"/>
                <w:color w:val="000000"/>
                <w:sz w:val="20"/>
                <w:szCs w:val="20"/>
                <w:lang w:val="en-US" w:eastAsia="en-CA"/>
              </w:rPr>
              <w:t>GBq</w:t>
            </w:r>
            <w:proofErr w:type="spellEnd"/>
          </w:p>
          <w:tbl>
            <w:tblPr>
              <w:tblW w:w="4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559"/>
              <w:gridCol w:w="2127"/>
            </w:tblGrid>
            <w:tr w:rsidR="005807FC" w:rsidRPr="00E676E5" w14:paraId="265536F3" w14:textId="77777777" w:rsidTr="005C04FE">
              <w:trPr>
                <w:trHeight w:val="255"/>
              </w:trPr>
              <w:tc>
                <w:tcPr>
                  <w:tcW w:w="1134" w:type="dxa"/>
                  <w:noWrap/>
                  <w:tcMar>
                    <w:top w:w="0" w:type="dxa"/>
                    <w:left w:w="108" w:type="dxa"/>
                    <w:bottom w:w="0" w:type="dxa"/>
                    <w:right w:w="108" w:type="dxa"/>
                  </w:tcMar>
                  <w:vAlign w:val="bottom"/>
                  <w:hideMark/>
                </w:tcPr>
                <w:p w14:paraId="439E376C"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lastRenderedPageBreak/>
                    <w:t>A2</w:t>
                  </w:r>
                </w:p>
              </w:tc>
              <w:tc>
                <w:tcPr>
                  <w:tcW w:w="1559" w:type="dxa"/>
                  <w:noWrap/>
                  <w:tcMar>
                    <w:top w:w="0" w:type="dxa"/>
                    <w:left w:w="108" w:type="dxa"/>
                    <w:bottom w:w="0" w:type="dxa"/>
                    <w:right w:w="108" w:type="dxa"/>
                  </w:tcMar>
                  <w:vAlign w:val="bottom"/>
                  <w:hideMark/>
                </w:tcPr>
                <w:p w14:paraId="27C102CE"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Parent Nuclide</w:t>
                  </w:r>
                </w:p>
              </w:tc>
              <w:tc>
                <w:tcPr>
                  <w:tcW w:w="2127" w:type="dxa"/>
                  <w:noWrap/>
                  <w:tcMar>
                    <w:top w:w="0" w:type="dxa"/>
                    <w:left w:w="108" w:type="dxa"/>
                    <w:bottom w:w="0" w:type="dxa"/>
                    <w:right w:w="108" w:type="dxa"/>
                  </w:tcMar>
                  <w:vAlign w:val="bottom"/>
                  <w:hideMark/>
                </w:tcPr>
                <w:p w14:paraId="329557C7"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Progeny (from footnote a of TS-R-1)</w:t>
                  </w:r>
                </w:p>
              </w:tc>
            </w:tr>
            <w:tr w:rsidR="005807FC" w:rsidRPr="00E676E5" w14:paraId="491C57C1" w14:textId="77777777" w:rsidTr="005C04FE">
              <w:trPr>
                <w:trHeight w:val="255"/>
              </w:trPr>
              <w:tc>
                <w:tcPr>
                  <w:tcW w:w="1134" w:type="dxa"/>
                  <w:noWrap/>
                  <w:tcMar>
                    <w:top w:w="0" w:type="dxa"/>
                    <w:left w:w="108" w:type="dxa"/>
                    <w:bottom w:w="0" w:type="dxa"/>
                    <w:right w:w="108" w:type="dxa"/>
                  </w:tcMar>
                  <w:vAlign w:val="bottom"/>
                  <w:hideMark/>
                </w:tcPr>
                <w:p w14:paraId="2E29D0F6"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unlimited</w:t>
                  </w:r>
                </w:p>
              </w:tc>
              <w:tc>
                <w:tcPr>
                  <w:tcW w:w="1559" w:type="dxa"/>
                  <w:noWrap/>
                  <w:tcMar>
                    <w:top w:w="0" w:type="dxa"/>
                    <w:left w:w="108" w:type="dxa"/>
                    <w:bottom w:w="0" w:type="dxa"/>
                    <w:right w:w="108" w:type="dxa"/>
                  </w:tcMar>
                  <w:vAlign w:val="bottom"/>
                  <w:hideMark/>
                </w:tcPr>
                <w:p w14:paraId="15422830"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U238</w:t>
                  </w:r>
                </w:p>
              </w:tc>
              <w:tc>
                <w:tcPr>
                  <w:tcW w:w="2127" w:type="dxa"/>
                  <w:noWrap/>
                  <w:tcMar>
                    <w:top w:w="0" w:type="dxa"/>
                    <w:left w:w="108" w:type="dxa"/>
                    <w:bottom w:w="0" w:type="dxa"/>
                    <w:right w:w="108" w:type="dxa"/>
                  </w:tcMar>
                  <w:vAlign w:val="bottom"/>
                  <w:hideMark/>
                </w:tcPr>
                <w:p w14:paraId="260C8378" w14:textId="77777777" w:rsidR="005807FC" w:rsidRPr="00E676E5" w:rsidRDefault="005807FC" w:rsidP="005C04FE">
                  <w:pPr>
                    <w:spacing w:after="0" w:line="240" w:lineRule="auto"/>
                    <w:rPr>
                      <w:rFonts w:cs="Calibri"/>
                      <w:color w:val="000000"/>
                      <w:sz w:val="20"/>
                      <w:szCs w:val="20"/>
                      <w:lang w:eastAsia="en-CA"/>
                    </w:rPr>
                  </w:pPr>
                </w:p>
              </w:tc>
            </w:tr>
            <w:tr w:rsidR="005807FC" w:rsidRPr="00E676E5" w14:paraId="48214C7A" w14:textId="77777777" w:rsidTr="005C04FE">
              <w:trPr>
                <w:trHeight w:val="255"/>
              </w:trPr>
              <w:tc>
                <w:tcPr>
                  <w:tcW w:w="1134" w:type="dxa"/>
                  <w:noWrap/>
                  <w:tcMar>
                    <w:top w:w="0" w:type="dxa"/>
                    <w:left w:w="108" w:type="dxa"/>
                    <w:bottom w:w="0" w:type="dxa"/>
                    <w:right w:w="108" w:type="dxa"/>
                  </w:tcMar>
                  <w:vAlign w:val="bottom"/>
                  <w:hideMark/>
                </w:tcPr>
                <w:p w14:paraId="5F5F53B0"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3.00E-01</w:t>
                  </w:r>
                </w:p>
              </w:tc>
              <w:tc>
                <w:tcPr>
                  <w:tcW w:w="1559" w:type="dxa"/>
                  <w:noWrap/>
                  <w:tcMar>
                    <w:top w:w="0" w:type="dxa"/>
                    <w:left w:w="108" w:type="dxa"/>
                    <w:bottom w:w="0" w:type="dxa"/>
                    <w:right w:w="108" w:type="dxa"/>
                  </w:tcMar>
                  <w:vAlign w:val="bottom"/>
                  <w:hideMark/>
                </w:tcPr>
                <w:p w14:paraId="671A7933"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Th234</w:t>
                  </w:r>
                </w:p>
              </w:tc>
              <w:tc>
                <w:tcPr>
                  <w:tcW w:w="2127" w:type="dxa"/>
                  <w:noWrap/>
                  <w:tcMar>
                    <w:top w:w="0" w:type="dxa"/>
                    <w:left w:w="108" w:type="dxa"/>
                    <w:bottom w:w="0" w:type="dxa"/>
                    <w:right w:w="108" w:type="dxa"/>
                  </w:tcMar>
                  <w:vAlign w:val="bottom"/>
                  <w:hideMark/>
                </w:tcPr>
                <w:p w14:paraId="7DA899CD"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Pa234m, Pa234</w:t>
                  </w:r>
                </w:p>
              </w:tc>
            </w:tr>
            <w:tr w:rsidR="005807FC" w:rsidRPr="00E676E5" w14:paraId="47242E4F" w14:textId="77777777" w:rsidTr="005C04FE">
              <w:trPr>
                <w:trHeight w:val="255"/>
              </w:trPr>
              <w:tc>
                <w:tcPr>
                  <w:tcW w:w="1134" w:type="dxa"/>
                  <w:noWrap/>
                  <w:tcMar>
                    <w:top w:w="0" w:type="dxa"/>
                    <w:left w:w="108" w:type="dxa"/>
                    <w:bottom w:w="0" w:type="dxa"/>
                    <w:right w:w="108" w:type="dxa"/>
                  </w:tcMar>
                  <w:vAlign w:val="bottom"/>
                  <w:hideMark/>
                </w:tcPr>
                <w:p w14:paraId="407FB9AA"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6.00E-03</w:t>
                  </w:r>
                </w:p>
              </w:tc>
              <w:tc>
                <w:tcPr>
                  <w:tcW w:w="1559" w:type="dxa"/>
                  <w:noWrap/>
                  <w:tcMar>
                    <w:top w:w="0" w:type="dxa"/>
                    <w:left w:w="108" w:type="dxa"/>
                    <w:bottom w:w="0" w:type="dxa"/>
                    <w:right w:w="108" w:type="dxa"/>
                  </w:tcMar>
                  <w:vAlign w:val="bottom"/>
                  <w:hideMark/>
                </w:tcPr>
                <w:p w14:paraId="7F028453"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U234</w:t>
                  </w:r>
                </w:p>
              </w:tc>
              <w:tc>
                <w:tcPr>
                  <w:tcW w:w="2127" w:type="dxa"/>
                  <w:noWrap/>
                  <w:tcMar>
                    <w:top w:w="0" w:type="dxa"/>
                    <w:left w:w="108" w:type="dxa"/>
                    <w:bottom w:w="0" w:type="dxa"/>
                    <w:right w:w="108" w:type="dxa"/>
                  </w:tcMar>
                  <w:vAlign w:val="bottom"/>
                  <w:hideMark/>
                </w:tcPr>
                <w:p w14:paraId="1E9B4EA1" w14:textId="77777777" w:rsidR="005807FC" w:rsidRPr="00E676E5" w:rsidRDefault="005807FC" w:rsidP="005C04FE">
                  <w:pPr>
                    <w:spacing w:after="0" w:line="240" w:lineRule="auto"/>
                    <w:rPr>
                      <w:rFonts w:cs="Calibri"/>
                      <w:color w:val="000000"/>
                      <w:sz w:val="20"/>
                      <w:szCs w:val="20"/>
                      <w:lang w:eastAsia="en-CA"/>
                    </w:rPr>
                  </w:pPr>
                </w:p>
              </w:tc>
            </w:tr>
            <w:tr w:rsidR="005807FC" w:rsidRPr="00E676E5" w14:paraId="248DBDC2" w14:textId="77777777" w:rsidTr="005C04FE">
              <w:trPr>
                <w:trHeight w:val="255"/>
              </w:trPr>
              <w:tc>
                <w:tcPr>
                  <w:tcW w:w="1134" w:type="dxa"/>
                  <w:noWrap/>
                  <w:tcMar>
                    <w:top w:w="0" w:type="dxa"/>
                    <w:left w:w="108" w:type="dxa"/>
                    <w:bottom w:w="0" w:type="dxa"/>
                    <w:right w:w="108" w:type="dxa"/>
                  </w:tcMar>
                  <w:vAlign w:val="bottom"/>
                  <w:hideMark/>
                </w:tcPr>
                <w:p w14:paraId="521172E7"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1.00E-03</w:t>
                  </w:r>
                </w:p>
              </w:tc>
              <w:tc>
                <w:tcPr>
                  <w:tcW w:w="1559" w:type="dxa"/>
                  <w:noWrap/>
                  <w:tcMar>
                    <w:top w:w="0" w:type="dxa"/>
                    <w:left w:w="108" w:type="dxa"/>
                    <w:bottom w:w="0" w:type="dxa"/>
                    <w:right w:w="108" w:type="dxa"/>
                  </w:tcMar>
                  <w:vAlign w:val="bottom"/>
                  <w:hideMark/>
                </w:tcPr>
                <w:p w14:paraId="0271D878"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Th230</w:t>
                  </w:r>
                </w:p>
              </w:tc>
              <w:tc>
                <w:tcPr>
                  <w:tcW w:w="2127" w:type="dxa"/>
                  <w:noWrap/>
                  <w:tcMar>
                    <w:top w:w="0" w:type="dxa"/>
                    <w:left w:w="108" w:type="dxa"/>
                    <w:bottom w:w="0" w:type="dxa"/>
                    <w:right w:w="108" w:type="dxa"/>
                  </w:tcMar>
                  <w:vAlign w:val="bottom"/>
                  <w:hideMark/>
                </w:tcPr>
                <w:p w14:paraId="648A312F" w14:textId="77777777" w:rsidR="005807FC" w:rsidRPr="00E676E5" w:rsidRDefault="005807FC" w:rsidP="005C04FE">
                  <w:pPr>
                    <w:spacing w:after="0" w:line="240" w:lineRule="auto"/>
                    <w:rPr>
                      <w:rFonts w:cs="Calibri"/>
                      <w:color w:val="000000"/>
                      <w:sz w:val="20"/>
                      <w:szCs w:val="20"/>
                      <w:lang w:eastAsia="en-CA"/>
                    </w:rPr>
                  </w:pPr>
                </w:p>
              </w:tc>
            </w:tr>
            <w:tr w:rsidR="005807FC" w:rsidRPr="00E676E5" w14:paraId="28A68F08" w14:textId="77777777" w:rsidTr="005C04FE">
              <w:trPr>
                <w:trHeight w:val="255"/>
              </w:trPr>
              <w:tc>
                <w:tcPr>
                  <w:tcW w:w="1134" w:type="dxa"/>
                  <w:noWrap/>
                  <w:tcMar>
                    <w:top w:w="0" w:type="dxa"/>
                    <w:left w:w="108" w:type="dxa"/>
                    <w:bottom w:w="0" w:type="dxa"/>
                    <w:right w:w="108" w:type="dxa"/>
                  </w:tcMar>
                  <w:vAlign w:val="bottom"/>
                  <w:hideMark/>
                </w:tcPr>
                <w:p w14:paraId="6CB5723F"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3.00E-03</w:t>
                  </w:r>
                </w:p>
              </w:tc>
              <w:tc>
                <w:tcPr>
                  <w:tcW w:w="1559" w:type="dxa"/>
                  <w:noWrap/>
                  <w:tcMar>
                    <w:top w:w="0" w:type="dxa"/>
                    <w:left w:w="108" w:type="dxa"/>
                    <w:bottom w:w="0" w:type="dxa"/>
                    <w:right w:w="108" w:type="dxa"/>
                  </w:tcMar>
                  <w:vAlign w:val="bottom"/>
                  <w:hideMark/>
                </w:tcPr>
                <w:p w14:paraId="07ECD2A0"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Ra226</w:t>
                  </w:r>
                </w:p>
              </w:tc>
              <w:tc>
                <w:tcPr>
                  <w:tcW w:w="2127" w:type="dxa"/>
                  <w:noWrap/>
                  <w:tcMar>
                    <w:top w:w="0" w:type="dxa"/>
                    <w:left w:w="108" w:type="dxa"/>
                    <w:bottom w:w="0" w:type="dxa"/>
                    <w:right w:w="108" w:type="dxa"/>
                  </w:tcMar>
                  <w:vAlign w:val="bottom"/>
                  <w:hideMark/>
                </w:tcPr>
                <w:p w14:paraId="235901CB"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Rn222, Po218, Pb214, At218, Bi214, Po214</w:t>
                  </w:r>
                </w:p>
              </w:tc>
            </w:tr>
            <w:tr w:rsidR="005807FC" w:rsidRPr="00E676E5" w14:paraId="478DD1DA" w14:textId="77777777" w:rsidTr="005C04FE">
              <w:trPr>
                <w:trHeight w:val="255"/>
              </w:trPr>
              <w:tc>
                <w:tcPr>
                  <w:tcW w:w="1134" w:type="dxa"/>
                  <w:noWrap/>
                  <w:tcMar>
                    <w:top w:w="0" w:type="dxa"/>
                    <w:left w:w="108" w:type="dxa"/>
                    <w:bottom w:w="0" w:type="dxa"/>
                    <w:right w:w="108" w:type="dxa"/>
                  </w:tcMar>
                  <w:vAlign w:val="bottom"/>
                  <w:hideMark/>
                </w:tcPr>
                <w:p w14:paraId="18C9E7EC"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5.00E-02</w:t>
                  </w:r>
                </w:p>
              </w:tc>
              <w:tc>
                <w:tcPr>
                  <w:tcW w:w="1559" w:type="dxa"/>
                  <w:noWrap/>
                  <w:tcMar>
                    <w:top w:w="0" w:type="dxa"/>
                    <w:left w:w="108" w:type="dxa"/>
                    <w:bottom w:w="0" w:type="dxa"/>
                    <w:right w:w="108" w:type="dxa"/>
                  </w:tcMar>
                  <w:vAlign w:val="bottom"/>
                  <w:hideMark/>
                </w:tcPr>
                <w:p w14:paraId="14D2FD30"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Pb210</w:t>
                  </w:r>
                </w:p>
              </w:tc>
              <w:tc>
                <w:tcPr>
                  <w:tcW w:w="2127" w:type="dxa"/>
                  <w:noWrap/>
                  <w:tcMar>
                    <w:top w:w="0" w:type="dxa"/>
                    <w:left w:w="108" w:type="dxa"/>
                    <w:bottom w:w="0" w:type="dxa"/>
                    <w:right w:w="108" w:type="dxa"/>
                  </w:tcMar>
                  <w:vAlign w:val="bottom"/>
                  <w:hideMark/>
                </w:tcPr>
                <w:p w14:paraId="7D47D39B"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Bi210</w:t>
                  </w:r>
                </w:p>
              </w:tc>
            </w:tr>
            <w:tr w:rsidR="005807FC" w:rsidRPr="00E676E5" w14:paraId="780DEBEE" w14:textId="77777777" w:rsidTr="005C04FE">
              <w:trPr>
                <w:trHeight w:val="255"/>
              </w:trPr>
              <w:tc>
                <w:tcPr>
                  <w:tcW w:w="1134" w:type="dxa"/>
                  <w:noWrap/>
                  <w:tcMar>
                    <w:top w:w="0" w:type="dxa"/>
                    <w:left w:w="108" w:type="dxa"/>
                    <w:bottom w:w="0" w:type="dxa"/>
                    <w:right w:w="108" w:type="dxa"/>
                  </w:tcMar>
                  <w:vAlign w:val="bottom"/>
                  <w:hideMark/>
                </w:tcPr>
                <w:p w14:paraId="26B86B71"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2.00E-02</w:t>
                  </w:r>
                </w:p>
              </w:tc>
              <w:tc>
                <w:tcPr>
                  <w:tcW w:w="1559" w:type="dxa"/>
                  <w:noWrap/>
                  <w:tcMar>
                    <w:top w:w="0" w:type="dxa"/>
                    <w:left w:w="108" w:type="dxa"/>
                    <w:bottom w:w="0" w:type="dxa"/>
                    <w:right w:w="108" w:type="dxa"/>
                  </w:tcMar>
                  <w:vAlign w:val="bottom"/>
                  <w:hideMark/>
                </w:tcPr>
                <w:p w14:paraId="0BFEA053"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Po210</w:t>
                  </w:r>
                </w:p>
              </w:tc>
              <w:tc>
                <w:tcPr>
                  <w:tcW w:w="2127" w:type="dxa"/>
                  <w:noWrap/>
                  <w:tcMar>
                    <w:top w:w="0" w:type="dxa"/>
                    <w:left w:w="108" w:type="dxa"/>
                    <w:bottom w:w="0" w:type="dxa"/>
                    <w:right w:w="108" w:type="dxa"/>
                  </w:tcMar>
                  <w:vAlign w:val="bottom"/>
                  <w:hideMark/>
                </w:tcPr>
                <w:p w14:paraId="42595490" w14:textId="77777777" w:rsidR="005807FC" w:rsidRPr="00E676E5" w:rsidRDefault="005807FC" w:rsidP="005C04FE">
                  <w:pPr>
                    <w:spacing w:after="0" w:line="240" w:lineRule="auto"/>
                    <w:rPr>
                      <w:rFonts w:cs="Calibri"/>
                      <w:color w:val="000000"/>
                      <w:sz w:val="20"/>
                      <w:szCs w:val="20"/>
                      <w:lang w:eastAsia="en-CA"/>
                    </w:rPr>
                  </w:pPr>
                </w:p>
              </w:tc>
            </w:tr>
            <w:tr w:rsidR="005807FC" w:rsidRPr="00E676E5" w14:paraId="33F28617" w14:textId="77777777" w:rsidTr="005C04FE">
              <w:trPr>
                <w:trHeight w:val="255"/>
              </w:trPr>
              <w:tc>
                <w:tcPr>
                  <w:tcW w:w="1134" w:type="dxa"/>
                  <w:noWrap/>
                  <w:tcMar>
                    <w:top w:w="0" w:type="dxa"/>
                    <w:left w:w="108" w:type="dxa"/>
                    <w:bottom w:w="0" w:type="dxa"/>
                    <w:right w:w="108" w:type="dxa"/>
                  </w:tcMar>
                  <w:vAlign w:val="bottom"/>
                  <w:hideMark/>
                </w:tcPr>
                <w:p w14:paraId="47C06627" w14:textId="77777777" w:rsidR="005807FC" w:rsidRPr="00E676E5" w:rsidRDefault="005807FC" w:rsidP="005C04FE">
                  <w:pPr>
                    <w:spacing w:after="0" w:line="240" w:lineRule="auto"/>
                    <w:rPr>
                      <w:rFonts w:cs="Calibri"/>
                      <w:color w:val="000000"/>
                      <w:sz w:val="20"/>
                      <w:szCs w:val="20"/>
                      <w:lang w:eastAsia="en-CA"/>
                    </w:rPr>
                  </w:pPr>
                </w:p>
              </w:tc>
              <w:tc>
                <w:tcPr>
                  <w:tcW w:w="1559" w:type="dxa"/>
                  <w:noWrap/>
                  <w:tcMar>
                    <w:top w:w="0" w:type="dxa"/>
                    <w:left w:w="108" w:type="dxa"/>
                    <w:bottom w:w="0" w:type="dxa"/>
                    <w:right w:w="108" w:type="dxa"/>
                  </w:tcMar>
                  <w:vAlign w:val="bottom"/>
                  <w:hideMark/>
                </w:tcPr>
                <w:p w14:paraId="3B1BC879" w14:textId="77777777" w:rsidR="005807FC" w:rsidRPr="00E676E5" w:rsidRDefault="005807FC" w:rsidP="005C04FE">
                  <w:pPr>
                    <w:spacing w:after="0" w:line="240" w:lineRule="auto"/>
                    <w:rPr>
                      <w:rFonts w:cs="Calibri"/>
                      <w:color w:val="000000"/>
                      <w:sz w:val="20"/>
                      <w:szCs w:val="20"/>
                      <w:lang w:eastAsia="en-CA"/>
                    </w:rPr>
                  </w:pPr>
                </w:p>
              </w:tc>
              <w:tc>
                <w:tcPr>
                  <w:tcW w:w="2127" w:type="dxa"/>
                  <w:noWrap/>
                  <w:tcMar>
                    <w:top w:w="0" w:type="dxa"/>
                    <w:left w:w="108" w:type="dxa"/>
                    <w:bottom w:w="0" w:type="dxa"/>
                    <w:right w:w="108" w:type="dxa"/>
                  </w:tcMar>
                  <w:vAlign w:val="bottom"/>
                  <w:hideMark/>
                </w:tcPr>
                <w:p w14:paraId="33E6AFC9" w14:textId="77777777" w:rsidR="005807FC" w:rsidRPr="00E676E5" w:rsidRDefault="005807FC" w:rsidP="005C04FE">
                  <w:pPr>
                    <w:spacing w:after="0" w:line="240" w:lineRule="auto"/>
                    <w:rPr>
                      <w:rFonts w:cs="Calibri"/>
                      <w:color w:val="000000"/>
                      <w:sz w:val="20"/>
                      <w:szCs w:val="20"/>
                      <w:lang w:eastAsia="en-CA"/>
                    </w:rPr>
                  </w:pPr>
                </w:p>
              </w:tc>
            </w:tr>
            <w:tr w:rsidR="005807FC" w:rsidRPr="00E676E5" w14:paraId="2ABD39E5" w14:textId="77777777" w:rsidTr="005C04FE">
              <w:trPr>
                <w:trHeight w:val="255"/>
              </w:trPr>
              <w:tc>
                <w:tcPr>
                  <w:tcW w:w="1134" w:type="dxa"/>
                  <w:noWrap/>
                  <w:tcMar>
                    <w:top w:w="0" w:type="dxa"/>
                    <w:left w:w="108" w:type="dxa"/>
                    <w:bottom w:w="0" w:type="dxa"/>
                    <w:right w:w="108" w:type="dxa"/>
                  </w:tcMar>
                  <w:vAlign w:val="bottom"/>
                  <w:hideMark/>
                </w:tcPr>
                <w:p w14:paraId="7A0EF28C" w14:textId="77777777" w:rsidR="005807FC" w:rsidRPr="00E676E5" w:rsidRDefault="005807FC" w:rsidP="005C04FE">
                  <w:pPr>
                    <w:spacing w:after="0" w:line="240" w:lineRule="auto"/>
                    <w:rPr>
                      <w:rFonts w:cs="Calibri"/>
                      <w:color w:val="000000"/>
                      <w:sz w:val="20"/>
                      <w:szCs w:val="20"/>
                      <w:lang w:eastAsia="en-CA"/>
                    </w:rPr>
                  </w:pPr>
                  <w:proofErr w:type="spellStart"/>
                  <w:r w:rsidRPr="00E676E5">
                    <w:rPr>
                      <w:rFonts w:cs="Calibri"/>
                      <w:color w:val="000000"/>
                      <w:sz w:val="20"/>
                      <w:szCs w:val="20"/>
                      <w:lang w:eastAsia="en-CA"/>
                    </w:rPr>
                    <w:t>Xm</w:t>
                  </w:r>
                  <w:proofErr w:type="spellEnd"/>
                  <w:r w:rsidRPr="00E676E5">
                    <w:rPr>
                      <w:rFonts w:cs="Calibri"/>
                      <w:color w:val="000000"/>
                      <w:sz w:val="20"/>
                      <w:szCs w:val="20"/>
                      <w:lang w:eastAsia="en-CA"/>
                    </w:rPr>
                    <w:t>=</w:t>
                  </w:r>
                </w:p>
              </w:tc>
              <w:tc>
                <w:tcPr>
                  <w:tcW w:w="1559" w:type="dxa"/>
                  <w:noWrap/>
                  <w:tcMar>
                    <w:top w:w="0" w:type="dxa"/>
                    <w:left w:w="108" w:type="dxa"/>
                    <w:bottom w:w="0" w:type="dxa"/>
                    <w:right w:w="108" w:type="dxa"/>
                  </w:tcMar>
                  <w:vAlign w:val="bottom"/>
                  <w:hideMark/>
                </w:tcPr>
                <w:p w14:paraId="2A7BEF07" w14:textId="77777777" w:rsidR="005807FC" w:rsidRPr="00E676E5" w:rsidRDefault="005807FC" w:rsidP="005C04FE">
                  <w:pPr>
                    <w:spacing w:after="0" w:line="240" w:lineRule="auto"/>
                    <w:rPr>
                      <w:rFonts w:cs="Calibri"/>
                      <w:color w:val="000000"/>
                      <w:sz w:val="20"/>
                      <w:szCs w:val="20"/>
                      <w:lang w:eastAsia="en-CA"/>
                    </w:rPr>
                  </w:pPr>
                  <w:r w:rsidRPr="00E676E5">
                    <w:rPr>
                      <w:rFonts w:cs="Calibri"/>
                      <w:color w:val="000000"/>
                      <w:sz w:val="20"/>
                      <w:szCs w:val="20"/>
                      <w:lang w:eastAsia="en-CA"/>
                    </w:rPr>
                    <w:t>0.00444</w:t>
                  </w:r>
                </w:p>
              </w:tc>
              <w:tc>
                <w:tcPr>
                  <w:tcW w:w="2127" w:type="dxa"/>
                  <w:noWrap/>
                  <w:tcMar>
                    <w:top w:w="0" w:type="dxa"/>
                    <w:left w:w="108" w:type="dxa"/>
                    <w:bottom w:w="0" w:type="dxa"/>
                    <w:right w:w="108" w:type="dxa"/>
                  </w:tcMar>
                  <w:vAlign w:val="bottom"/>
                  <w:hideMark/>
                </w:tcPr>
                <w:p w14:paraId="6F8DB748" w14:textId="77777777" w:rsidR="005807FC" w:rsidRPr="00E676E5" w:rsidRDefault="005807FC" w:rsidP="005C04FE">
                  <w:pPr>
                    <w:spacing w:after="0" w:line="240" w:lineRule="auto"/>
                    <w:rPr>
                      <w:rFonts w:cs="Calibri"/>
                      <w:color w:val="000000"/>
                      <w:sz w:val="20"/>
                      <w:szCs w:val="20"/>
                      <w:lang w:eastAsia="en-CA"/>
                    </w:rPr>
                  </w:pPr>
                  <w:proofErr w:type="spellStart"/>
                  <w:r w:rsidRPr="00E676E5">
                    <w:rPr>
                      <w:rFonts w:cs="Calibri"/>
                      <w:color w:val="000000"/>
                      <w:sz w:val="20"/>
                      <w:szCs w:val="20"/>
                      <w:lang w:eastAsia="en-CA"/>
                    </w:rPr>
                    <w:t>TBq</w:t>
                  </w:r>
                  <w:proofErr w:type="spellEnd"/>
                </w:p>
              </w:tc>
            </w:tr>
          </w:tbl>
          <w:p w14:paraId="19C22961" w14:textId="77777777" w:rsidR="005807FC" w:rsidRPr="00E676E5" w:rsidRDefault="005807FC" w:rsidP="002B46D5">
            <w:pPr>
              <w:spacing w:after="120" w:line="240" w:lineRule="auto"/>
              <w:rPr>
                <w:rFonts w:cs="Calibri"/>
                <w:color w:val="000000"/>
                <w:sz w:val="20"/>
                <w:szCs w:val="20"/>
                <w:lang w:val="en-US" w:eastAsia="en-CA"/>
              </w:rPr>
            </w:pPr>
          </w:p>
          <w:p w14:paraId="44396494" w14:textId="2C0A1486" w:rsidR="005807FC" w:rsidRPr="00E676E5" w:rsidRDefault="005807FC" w:rsidP="002B46D5">
            <w:pPr>
              <w:spacing w:after="120" w:line="240" w:lineRule="auto"/>
              <w:rPr>
                <w:rFonts w:cs="Calibri"/>
                <w:color w:val="000000"/>
                <w:sz w:val="20"/>
                <w:szCs w:val="20"/>
                <w:lang w:val="en-US" w:eastAsia="en-CA"/>
              </w:rPr>
            </w:pPr>
            <w:r w:rsidRPr="00E676E5">
              <w:rPr>
                <w:rFonts w:cs="Calibri"/>
                <w:color w:val="000000"/>
                <w:sz w:val="20"/>
                <w:szCs w:val="20"/>
                <w:lang w:val="en-US" w:eastAsia="en-CA"/>
              </w:rPr>
              <w:t>The assumption is that each nuclide has a fractional activity within the mixture of 1/16 of the total because there are 16 decay products within the U238 chain.  Using the formula in paragraph 404 of TS-R-1 for a mixture, the A</w:t>
            </w:r>
            <w:r w:rsidRPr="00E676E5">
              <w:rPr>
                <w:rFonts w:cs="Calibri"/>
                <w:color w:val="000000"/>
                <w:sz w:val="20"/>
                <w:szCs w:val="20"/>
                <w:vertAlign w:val="subscript"/>
                <w:lang w:val="en-US" w:eastAsia="en-CA"/>
              </w:rPr>
              <w:t>2</w:t>
            </w:r>
            <w:r w:rsidRPr="00E676E5">
              <w:rPr>
                <w:rFonts w:cs="Calibri"/>
                <w:color w:val="000000"/>
                <w:sz w:val="20"/>
                <w:szCs w:val="20"/>
                <w:lang w:val="en-US" w:eastAsia="en-CA"/>
              </w:rPr>
              <w:t xml:space="preserve"> value of the mixture is 4.44 </w:t>
            </w:r>
            <w:proofErr w:type="spellStart"/>
            <w:r w:rsidRPr="00E676E5">
              <w:rPr>
                <w:rFonts w:cs="Calibri"/>
                <w:color w:val="000000"/>
                <w:sz w:val="20"/>
                <w:szCs w:val="20"/>
                <w:lang w:val="en-US" w:eastAsia="en-CA"/>
              </w:rPr>
              <w:t>GBq</w:t>
            </w:r>
            <w:proofErr w:type="spellEnd"/>
            <w:r w:rsidRPr="00E676E5">
              <w:rPr>
                <w:rFonts w:cs="Calibri"/>
                <w:color w:val="000000"/>
                <w:sz w:val="20"/>
                <w:szCs w:val="20"/>
                <w:lang w:val="en-US" w:eastAsia="en-CA"/>
              </w:rPr>
              <w:t xml:space="preserve"> (0.00444 </w:t>
            </w:r>
            <w:proofErr w:type="spellStart"/>
            <w:r w:rsidRPr="00E676E5">
              <w:rPr>
                <w:rFonts w:cs="Calibri"/>
                <w:color w:val="000000"/>
                <w:sz w:val="20"/>
                <w:szCs w:val="20"/>
                <w:lang w:val="en-US" w:eastAsia="en-CA"/>
              </w:rPr>
              <w:t>TBq</w:t>
            </w:r>
            <w:proofErr w:type="spellEnd"/>
            <w:r w:rsidRPr="00E676E5">
              <w:rPr>
                <w:rFonts w:cs="Calibri"/>
                <w:color w:val="000000"/>
                <w:sz w:val="20"/>
                <w:szCs w:val="20"/>
                <w:lang w:val="en-US" w:eastAsia="en-CA"/>
              </w:rPr>
              <w:t>).</w:t>
            </w:r>
          </w:p>
          <w:p w14:paraId="35B9DBC2" w14:textId="77777777" w:rsidR="005807FC" w:rsidRPr="00E676E5" w:rsidRDefault="005807FC" w:rsidP="005C04FE">
            <w:pPr>
              <w:spacing w:after="0" w:line="240" w:lineRule="auto"/>
              <w:rPr>
                <w:rFonts w:cs="Calibri"/>
                <w:color w:val="000000"/>
                <w:sz w:val="20"/>
                <w:szCs w:val="20"/>
                <w:lang w:val="en-US" w:eastAsia="en-CA"/>
              </w:rPr>
            </w:pPr>
            <w:r w:rsidRPr="00E676E5">
              <w:rPr>
                <w:rFonts w:cs="Calibri"/>
                <w:color w:val="000000"/>
                <w:sz w:val="20"/>
                <w:szCs w:val="20"/>
                <w:lang w:val="en-US" w:eastAsia="en-CA"/>
              </w:rPr>
              <w:t>Hence, based on the advisory material, the limit for low specific activity material is 10</w:t>
            </w:r>
            <w:r w:rsidRPr="00E676E5">
              <w:rPr>
                <w:rFonts w:cs="Calibri"/>
                <w:color w:val="000000"/>
                <w:sz w:val="20"/>
                <w:szCs w:val="20"/>
                <w:vertAlign w:val="superscript"/>
                <w:lang w:val="en-US" w:eastAsia="en-CA"/>
              </w:rPr>
              <w:t>-4</w:t>
            </w:r>
            <w:r w:rsidRPr="00E676E5">
              <w:rPr>
                <w:rFonts w:cs="Calibri"/>
                <w:color w:val="000000"/>
                <w:sz w:val="20"/>
                <w:szCs w:val="20"/>
                <w:lang w:val="en-US" w:eastAsia="en-CA"/>
              </w:rPr>
              <w:t xml:space="preserve"> A</w:t>
            </w:r>
            <w:r w:rsidRPr="00E676E5">
              <w:rPr>
                <w:rFonts w:cs="Calibri"/>
                <w:color w:val="000000"/>
                <w:sz w:val="20"/>
                <w:szCs w:val="20"/>
                <w:vertAlign w:val="subscript"/>
                <w:lang w:val="en-US" w:eastAsia="en-CA"/>
              </w:rPr>
              <w:t>2</w:t>
            </w:r>
            <w:r w:rsidRPr="00E676E5">
              <w:rPr>
                <w:rFonts w:cs="Calibri"/>
                <w:color w:val="000000"/>
                <w:sz w:val="20"/>
                <w:szCs w:val="20"/>
                <w:lang w:val="en-US" w:eastAsia="en-CA"/>
              </w:rPr>
              <w:t xml:space="preserve">/g.  </w:t>
            </w:r>
            <w:proofErr w:type="gramStart"/>
            <w:r w:rsidRPr="00E676E5">
              <w:rPr>
                <w:rFonts w:cs="Calibri"/>
                <w:color w:val="000000"/>
                <w:sz w:val="20"/>
                <w:szCs w:val="20"/>
                <w:lang w:val="en-US" w:eastAsia="en-CA"/>
              </w:rPr>
              <w:t>So</w:t>
            </w:r>
            <w:proofErr w:type="gramEnd"/>
            <w:r w:rsidRPr="00E676E5">
              <w:rPr>
                <w:rFonts w:cs="Calibri"/>
                <w:color w:val="000000"/>
                <w:sz w:val="20"/>
                <w:szCs w:val="20"/>
                <w:lang w:val="en-US" w:eastAsia="en-CA"/>
              </w:rPr>
              <w:t xml:space="preserve"> in our case:</w:t>
            </w:r>
          </w:p>
          <w:p w14:paraId="7ADB3C68" w14:textId="77777777" w:rsidR="005807FC" w:rsidRPr="00E676E5" w:rsidRDefault="005807FC" w:rsidP="005C04FE">
            <w:pPr>
              <w:spacing w:after="120" w:line="240" w:lineRule="auto"/>
              <w:ind w:left="720"/>
              <w:rPr>
                <w:rFonts w:cs="Calibri"/>
                <w:color w:val="000000"/>
                <w:sz w:val="20"/>
                <w:szCs w:val="20"/>
                <w:lang w:val="en-US" w:eastAsia="en-CA"/>
              </w:rPr>
            </w:pPr>
            <w:proofErr w:type="spellStart"/>
            <w:r w:rsidRPr="00E676E5">
              <w:rPr>
                <w:rFonts w:cs="Calibri"/>
                <w:color w:val="000000"/>
                <w:sz w:val="20"/>
                <w:szCs w:val="20"/>
                <w:lang w:val="en-US" w:eastAsia="en-CA"/>
              </w:rPr>
              <w:t>X</w:t>
            </w:r>
            <w:r w:rsidRPr="00E676E5">
              <w:rPr>
                <w:rFonts w:cs="Calibri"/>
                <w:color w:val="000000"/>
                <w:sz w:val="20"/>
                <w:szCs w:val="20"/>
                <w:vertAlign w:val="subscript"/>
                <w:lang w:val="en-US" w:eastAsia="en-CA"/>
              </w:rPr>
              <w:t>m</w:t>
            </w:r>
            <w:proofErr w:type="spellEnd"/>
            <w:r w:rsidRPr="00E676E5">
              <w:rPr>
                <w:rFonts w:cs="Calibri"/>
                <w:color w:val="000000"/>
                <w:sz w:val="20"/>
                <w:szCs w:val="20"/>
                <w:lang w:val="en-US" w:eastAsia="en-CA"/>
              </w:rPr>
              <w:t xml:space="preserve"> = 4.44 </w:t>
            </w:r>
            <w:proofErr w:type="spellStart"/>
            <w:r w:rsidRPr="00E676E5">
              <w:rPr>
                <w:rFonts w:cs="Calibri"/>
                <w:color w:val="000000"/>
                <w:sz w:val="20"/>
                <w:szCs w:val="20"/>
                <w:lang w:val="en-US" w:eastAsia="en-CA"/>
              </w:rPr>
              <w:t>GBq</w:t>
            </w:r>
            <w:proofErr w:type="spellEnd"/>
          </w:p>
          <w:p w14:paraId="47A96907" w14:textId="77777777" w:rsidR="005807FC" w:rsidRPr="00E676E5" w:rsidRDefault="005807FC" w:rsidP="002B46D5">
            <w:pPr>
              <w:spacing w:after="120" w:line="240" w:lineRule="auto"/>
              <w:rPr>
                <w:rFonts w:cs="Calibri"/>
                <w:color w:val="000000"/>
                <w:sz w:val="20"/>
                <w:szCs w:val="20"/>
                <w:lang w:val="en-US" w:eastAsia="en-CA"/>
              </w:rPr>
            </w:pPr>
            <w:r w:rsidRPr="00E676E5">
              <w:rPr>
                <w:rFonts w:cs="Calibri"/>
                <w:color w:val="000000"/>
                <w:sz w:val="20"/>
                <w:szCs w:val="20"/>
                <w:lang w:val="en-US" w:eastAsia="en-CA"/>
              </w:rPr>
              <w:t>Low Specific Activity Material is 10</w:t>
            </w:r>
            <w:r w:rsidRPr="00E676E5">
              <w:rPr>
                <w:rFonts w:cs="Calibri"/>
                <w:color w:val="000000"/>
                <w:sz w:val="20"/>
                <w:szCs w:val="20"/>
                <w:vertAlign w:val="superscript"/>
                <w:lang w:val="en-US" w:eastAsia="en-CA"/>
              </w:rPr>
              <w:t>-4</w:t>
            </w:r>
            <w:r w:rsidRPr="00E676E5">
              <w:rPr>
                <w:rFonts w:cs="Calibri"/>
                <w:color w:val="000000"/>
                <w:sz w:val="20"/>
                <w:szCs w:val="20"/>
                <w:lang w:val="en-US" w:eastAsia="en-CA"/>
              </w:rPr>
              <w:t xml:space="preserve"> (4.44 </w:t>
            </w:r>
            <w:proofErr w:type="spellStart"/>
            <w:r w:rsidRPr="00E676E5">
              <w:rPr>
                <w:rFonts w:cs="Calibri"/>
                <w:color w:val="000000"/>
                <w:sz w:val="20"/>
                <w:szCs w:val="20"/>
                <w:lang w:val="en-US" w:eastAsia="en-CA"/>
              </w:rPr>
              <w:t>GBq</w:t>
            </w:r>
            <w:proofErr w:type="spellEnd"/>
            <w:r w:rsidRPr="00E676E5">
              <w:rPr>
                <w:rFonts w:cs="Calibri"/>
                <w:color w:val="000000"/>
                <w:sz w:val="20"/>
                <w:szCs w:val="20"/>
                <w:lang w:val="en-US" w:eastAsia="en-CA"/>
              </w:rPr>
              <w:t xml:space="preserve">)/g = 0.444 MBq/g </w:t>
            </w:r>
          </w:p>
          <w:p w14:paraId="2C0B4954" w14:textId="77777777" w:rsidR="005807FC" w:rsidRPr="00E676E5" w:rsidRDefault="005807FC" w:rsidP="002B46D5">
            <w:pPr>
              <w:spacing w:after="120" w:line="240" w:lineRule="auto"/>
              <w:rPr>
                <w:rFonts w:cs="Calibri"/>
                <w:color w:val="000000"/>
                <w:sz w:val="20"/>
                <w:szCs w:val="20"/>
                <w:lang w:val="en-US" w:eastAsia="en-CA"/>
              </w:rPr>
            </w:pPr>
            <w:r w:rsidRPr="00E676E5">
              <w:rPr>
                <w:rFonts w:cs="Calibri"/>
                <w:color w:val="000000"/>
                <w:sz w:val="20"/>
                <w:szCs w:val="20"/>
                <w:lang w:val="en-US" w:eastAsia="en-CA"/>
              </w:rPr>
              <w:t xml:space="preserve">Specific activity for ore is 1.5 MBq/kg per percentage ore or 0.0015 MBq/g for 1% ore.  Or for 100% ore, the specific activity is 0.15 MBq/g.  Hence, 100% ore would not exceed the low specific activity material limits found in the advisory material.  </w:t>
            </w:r>
          </w:p>
          <w:p w14:paraId="17E51653" w14:textId="24895638" w:rsidR="005807FC" w:rsidRPr="00E676E5" w:rsidRDefault="005807FC" w:rsidP="002B46D5">
            <w:pPr>
              <w:spacing w:after="120" w:line="240" w:lineRule="auto"/>
              <w:rPr>
                <w:rFonts w:cs="Calibri"/>
                <w:color w:val="000000"/>
                <w:sz w:val="20"/>
                <w:szCs w:val="20"/>
                <w:lang w:val="en-US" w:eastAsia="en-CA"/>
              </w:rPr>
            </w:pPr>
            <w:r w:rsidRPr="00E676E5">
              <w:rPr>
                <w:rFonts w:cs="Calibri"/>
                <w:color w:val="000000"/>
                <w:sz w:val="20"/>
                <w:szCs w:val="20"/>
                <w:lang w:val="en-US" w:eastAsia="en-CA"/>
              </w:rPr>
              <w:t>On the radiation protection side the maximum radiation level on the external surface of a package or overpack under exclusive use is 10 mSv/h.  Generally, for large volumes of uranium ore the contact gamma dose rate is 45 µ</w:t>
            </w:r>
            <w:proofErr w:type="spellStart"/>
            <w:r w:rsidRPr="00E676E5">
              <w:rPr>
                <w:rFonts w:cs="Calibri"/>
                <w:color w:val="000000"/>
                <w:sz w:val="20"/>
                <w:szCs w:val="20"/>
                <w:lang w:val="en-US" w:eastAsia="en-CA"/>
              </w:rPr>
              <w:t>Sv</w:t>
            </w:r>
            <w:proofErr w:type="spellEnd"/>
            <w:r w:rsidRPr="00E676E5">
              <w:rPr>
                <w:rFonts w:cs="Calibri"/>
                <w:color w:val="000000"/>
                <w:sz w:val="20"/>
                <w:szCs w:val="20"/>
                <w:lang w:val="en-US" w:eastAsia="en-CA"/>
              </w:rPr>
              <w:t>/h per % U</w:t>
            </w:r>
            <w:r w:rsidRPr="00E676E5">
              <w:rPr>
                <w:rFonts w:cs="Calibri"/>
                <w:color w:val="000000"/>
                <w:sz w:val="20"/>
                <w:szCs w:val="20"/>
                <w:vertAlign w:val="subscript"/>
                <w:lang w:val="en-US" w:eastAsia="en-CA"/>
              </w:rPr>
              <w:t>3</w:t>
            </w:r>
            <w:r w:rsidRPr="00E676E5">
              <w:rPr>
                <w:rFonts w:cs="Calibri"/>
                <w:color w:val="000000"/>
                <w:sz w:val="20"/>
                <w:szCs w:val="20"/>
                <w:lang w:val="en-US" w:eastAsia="en-CA"/>
              </w:rPr>
              <w:t>O</w:t>
            </w:r>
            <w:r w:rsidRPr="00E676E5">
              <w:rPr>
                <w:rFonts w:cs="Calibri"/>
                <w:color w:val="000000"/>
                <w:sz w:val="20"/>
                <w:szCs w:val="20"/>
                <w:vertAlign w:val="subscript"/>
                <w:lang w:val="en-US" w:eastAsia="en-CA"/>
              </w:rPr>
              <w:t>8</w:t>
            </w:r>
            <w:r w:rsidRPr="00E676E5">
              <w:rPr>
                <w:rFonts w:cs="Calibri"/>
                <w:color w:val="000000"/>
                <w:sz w:val="20"/>
                <w:szCs w:val="20"/>
                <w:lang w:val="en-US" w:eastAsia="en-CA"/>
              </w:rPr>
              <w:t>.   Hence for 100% ore in a large package the contact gamma field is about 4500 µ</w:t>
            </w:r>
            <w:proofErr w:type="spellStart"/>
            <w:r w:rsidRPr="00E676E5">
              <w:rPr>
                <w:rFonts w:cs="Calibri"/>
                <w:color w:val="000000"/>
                <w:sz w:val="20"/>
                <w:szCs w:val="20"/>
                <w:lang w:val="en-US" w:eastAsia="en-CA"/>
              </w:rPr>
              <w:t>Sv</w:t>
            </w:r>
            <w:proofErr w:type="spellEnd"/>
            <w:r w:rsidRPr="00E676E5">
              <w:rPr>
                <w:rFonts w:cs="Calibri"/>
                <w:color w:val="000000"/>
                <w:sz w:val="20"/>
                <w:szCs w:val="20"/>
                <w:lang w:val="en-US" w:eastAsia="en-CA"/>
              </w:rPr>
              <w:t xml:space="preserve">/h or </w:t>
            </w:r>
            <w:r w:rsidRPr="00E676E5">
              <w:rPr>
                <w:rFonts w:cs="Calibri"/>
                <w:color w:val="000000"/>
                <w:sz w:val="20"/>
                <w:szCs w:val="20"/>
                <w:lang w:val="en-US" w:eastAsia="en-CA"/>
              </w:rPr>
              <w:lastRenderedPageBreak/>
              <w:t>4.5 mSv/h, below the regulatory limit for an exclusive use shipment.</w:t>
            </w:r>
          </w:p>
          <w:p w14:paraId="35EC2DF0" w14:textId="5146D3E7" w:rsidR="005807FC" w:rsidRPr="00E676E5" w:rsidRDefault="005807FC" w:rsidP="002B46D5">
            <w:pPr>
              <w:spacing w:after="120" w:line="240" w:lineRule="auto"/>
              <w:rPr>
                <w:rFonts w:cs="Calibri"/>
                <w:color w:val="000000"/>
                <w:sz w:val="20"/>
                <w:szCs w:val="20"/>
                <w:lang w:val="en-US" w:eastAsia="en-CA"/>
              </w:rPr>
            </w:pPr>
            <w:r w:rsidRPr="00E676E5">
              <w:rPr>
                <w:rFonts w:cs="Calibri"/>
                <w:color w:val="000000"/>
                <w:sz w:val="20"/>
                <w:szCs w:val="20"/>
                <w:lang w:val="en-US" w:eastAsia="en-CA"/>
              </w:rPr>
              <w:t xml:space="preserve">In conclusion, both the activity limits and the radiation limits would allow for the transport of 100%.  The 3% ore grade restriction has further impact and cost on operations.  The current 3% limit of ores is not justified or warranted.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CDEBC" w14:textId="529994F5" w:rsidR="005807FC" w:rsidRPr="00E676E5" w:rsidRDefault="005807FC" w:rsidP="002B46D5">
            <w:pPr>
              <w:spacing w:after="120" w:line="240" w:lineRule="auto"/>
              <w:rPr>
                <w:rStyle w:val="sectionlabel"/>
                <w:rFonts w:cs="Calibri"/>
                <w:color w:val="000000"/>
                <w:sz w:val="20"/>
                <w:szCs w:val="20"/>
              </w:rPr>
            </w:pPr>
            <w:r w:rsidRPr="00E676E5">
              <w:rPr>
                <w:rStyle w:val="sectionlabel"/>
                <w:rFonts w:cs="Calibri"/>
                <w:color w:val="000000"/>
                <w:sz w:val="20"/>
                <w:szCs w:val="20"/>
              </w:rPr>
              <w:lastRenderedPageBreak/>
              <w:t>Recommend the following revision:</w:t>
            </w:r>
          </w:p>
          <w:p w14:paraId="3C0611E7" w14:textId="78357D82" w:rsidR="005807FC" w:rsidRPr="00E676E5" w:rsidRDefault="005807FC" w:rsidP="002B46D5">
            <w:pPr>
              <w:spacing w:after="120" w:line="240" w:lineRule="auto"/>
              <w:rPr>
                <w:rFonts w:cs="Calibri"/>
                <w:i/>
                <w:iCs/>
                <w:color w:val="333333"/>
                <w:sz w:val="20"/>
                <w:szCs w:val="20"/>
              </w:rPr>
            </w:pPr>
            <w:r w:rsidRPr="00E676E5">
              <w:rPr>
                <w:rStyle w:val="sectionlabel"/>
                <w:rFonts w:cs="Calibri"/>
                <w:i/>
                <w:iCs/>
                <w:color w:val="000000"/>
                <w:sz w:val="20"/>
                <w:szCs w:val="20"/>
              </w:rPr>
              <w:t>5</w:t>
            </w:r>
            <w:r w:rsidRPr="00E676E5">
              <w:rPr>
                <w:rFonts w:cs="Calibri"/>
                <w:i/>
                <w:iCs/>
                <w:color w:val="333333"/>
                <w:sz w:val="20"/>
                <w:szCs w:val="20"/>
              </w:rPr>
              <w:t> </w:t>
            </w:r>
            <w:r w:rsidRPr="00E676E5">
              <w:rPr>
                <w:rStyle w:val="lawlabel"/>
                <w:rFonts w:cs="Calibri"/>
                <w:i/>
                <w:iCs/>
                <w:color w:val="000000"/>
                <w:sz w:val="20"/>
                <w:szCs w:val="20"/>
              </w:rPr>
              <w:t>(1)</w:t>
            </w:r>
            <w:r w:rsidRPr="00E676E5">
              <w:rPr>
                <w:rFonts w:cs="Calibri"/>
                <w:i/>
                <w:iCs/>
                <w:color w:val="333333"/>
                <w:sz w:val="20"/>
                <w:szCs w:val="20"/>
              </w:rPr>
              <w:t> LSA material is classified as LSA-I material if it is either non-fissile material or fissile-excepted radioactive material and if it consists of</w:t>
            </w:r>
          </w:p>
          <w:p w14:paraId="4FE9A714" w14:textId="77777777" w:rsidR="005807FC" w:rsidRPr="00E676E5" w:rsidRDefault="005807FC" w:rsidP="002B46D5">
            <w:pPr>
              <w:spacing w:after="120" w:line="240" w:lineRule="auto"/>
              <w:rPr>
                <w:rFonts w:cs="Calibri"/>
                <w:i/>
                <w:iCs/>
                <w:color w:val="333333"/>
                <w:sz w:val="20"/>
                <w:szCs w:val="20"/>
              </w:rPr>
            </w:pPr>
            <w:r w:rsidRPr="00E676E5">
              <w:rPr>
                <w:rStyle w:val="lawlabel"/>
                <w:rFonts w:cs="Calibri"/>
                <w:i/>
                <w:iCs/>
                <w:color w:val="000000" w:themeColor="text1"/>
                <w:sz w:val="20"/>
                <w:szCs w:val="20"/>
              </w:rPr>
              <w:t>(a)</w:t>
            </w:r>
            <w:r w:rsidRPr="00E676E5">
              <w:rPr>
                <w:rFonts w:cs="Calibri"/>
                <w:i/>
                <w:iCs/>
                <w:color w:val="333333"/>
                <w:sz w:val="20"/>
                <w:szCs w:val="20"/>
              </w:rPr>
              <w:t> </w:t>
            </w:r>
            <w:r w:rsidRPr="00E676E5">
              <w:rPr>
                <w:rFonts w:cs="Calibri"/>
                <w:i/>
                <w:iCs/>
                <w:strike/>
                <w:color w:val="FF0000"/>
                <w:sz w:val="20"/>
                <w:szCs w:val="20"/>
              </w:rPr>
              <w:t>ores that contain naturally occurring radionuclides with a uranium and thorium concentration not greater than 3% by mass</w:t>
            </w:r>
            <w:r w:rsidRPr="00E676E5">
              <w:rPr>
                <w:rFonts w:cs="Calibri"/>
                <w:i/>
                <w:iCs/>
                <w:color w:val="333333"/>
                <w:sz w:val="20"/>
                <w:szCs w:val="20"/>
              </w:rPr>
              <w:t xml:space="preserve"> </w:t>
            </w:r>
            <w:r w:rsidRPr="00E676E5">
              <w:rPr>
                <w:rFonts w:cs="Calibri"/>
                <w:i/>
                <w:iCs/>
                <w:color w:val="FF0000"/>
                <w:sz w:val="20"/>
                <w:szCs w:val="20"/>
              </w:rPr>
              <w:t xml:space="preserve">uranium and thorium ores and concentrates of such ores, and other ores containing naturally occurring </w:t>
            </w:r>
            <w:proofErr w:type="gramStart"/>
            <w:r w:rsidRPr="00E676E5">
              <w:rPr>
                <w:rFonts w:cs="Calibri"/>
                <w:i/>
                <w:iCs/>
                <w:color w:val="FF0000"/>
                <w:sz w:val="20"/>
                <w:szCs w:val="20"/>
              </w:rPr>
              <w:t>radionuclides;</w:t>
            </w:r>
            <w:proofErr w:type="gramEnd"/>
          </w:p>
          <w:p w14:paraId="51BB9423" w14:textId="77777777" w:rsidR="005807FC" w:rsidRPr="00E676E5" w:rsidRDefault="005807FC" w:rsidP="002B46D5">
            <w:pPr>
              <w:spacing w:after="120" w:line="240" w:lineRule="auto"/>
              <w:rPr>
                <w:rFonts w:cs="Calibri"/>
                <w:color w:val="333333"/>
                <w:sz w:val="20"/>
                <w:szCs w:val="20"/>
              </w:rPr>
            </w:pPr>
            <w:r w:rsidRPr="00E676E5">
              <w:rPr>
                <w:rStyle w:val="lawlabel"/>
                <w:rFonts w:cs="Calibri"/>
                <w:i/>
                <w:iCs/>
                <w:color w:val="000000" w:themeColor="text1"/>
                <w:sz w:val="20"/>
                <w:szCs w:val="20"/>
              </w:rPr>
              <w:t>(b)</w:t>
            </w:r>
            <w:r w:rsidRPr="00E676E5">
              <w:rPr>
                <w:rFonts w:cs="Calibri"/>
                <w:i/>
                <w:iCs/>
                <w:color w:val="333333"/>
                <w:sz w:val="20"/>
                <w:szCs w:val="20"/>
              </w:rPr>
              <w:t> radioactive material for which the A</w:t>
            </w:r>
            <w:r w:rsidRPr="00E676E5">
              <w:rPr>
                <w:rFonts w:cs="Calibri"/>
                <w:i/>
                <w:iCs/>
                <w:color w:val="333333"/>
                <w:sz w:val="20"/>
                <w:szCs w:val="20"/>
                <w:vertAlign w:val="subscript"/>
              </w:rPr>
              <w:t>2</w:t>
            </w:r>
            <w:r w:rsidRPr="00E676E5">
              <w:rPr>
                <w:rFonts w:cs="Calibri"/>
                <w:i/>
                <w:iCs/>
                <w:color w:val="333333"/>
                <w:sz w:val="20"/>
                <w:szCs w:val="20"/>
              </w:rPr>
              <w:t xml:space="preserve"> value is unlimited.  </w:t>
            </w:r>
            <w:r w:rsidRPr="00E676E5">
              <w:rPr>
                <w:rFonts w:cs="Calibri"/>
                <w:i/>
                <w:iCs/>
                <w:color w:val="FF0000"/>
                <w:sz w:val="20"/>
                <w:szCs w:val="20"/>
              </w:rPr>
              <w:t>Fissile material may be included only if excepted.</w:t>
            </w:r>
            <w:r w:rsidRPr="00E676E5">
              <w:rPr>
                <w:rFonts w:cs="Calibri"/>
                <w:i/>
                <w:iCs/>
                <w:color w:val="333333"/>
                <w:sz w:val="20"/>
                <w:szCs w:val="20"/>
              </w:rPr>
              <w:t xml:space="preserve"> </w:t>
            </w:r>
            <w:r w:rsidRPr="00E676E5">
              <w:rPr>
                <w:rFonts w:cs="Calibri"/>
                <w:i/>
                <w:iCs/>
                <w:strike/>
                <w:color w:val="FF0000"/>
                <w:sz w:val="20"/>
                <w:szCs w:val="20"/>
              </w:rPr>
              <w:t xml:space="preserve">except for ores that contain naturally occurring radionuclides with a uranium and thorium concentration greater than 3% by </w:t>
            </w:r>
            <w:proofErr w:type="gramStart"/>
            <w:r w:rsidRPr="00E676E5">
              <w:rPr>
                <w:rFonts w:cs="Calibri"/>
                <w:i/>
                <w:iCs/>
                <w:strike/>
                <w:color w:val="FF0000"/>
                <w:sz w:val="20"/>
                <w:szCs w:val="20"/>
              </w:rPr>
              <w:t>mass</w:t>
            </w:r>
            <w:r w:rsidRPr="00E676E5">
              <w:rPr>
                <w:rFonts w:cs="Calibri"/>
                <w:color w:val="333333"/>
                <w:sz w:val="20"/>
                <w:szCs w:val="20"/>
              </w:rPr>
              <w:t>;</w:t>
            </w:r>
            <w:proofErr w:type="gramEnd"/>
          </w:p>
          <w:p w14:paraId="40AB1738" w14:textId="77777777" w:rsidR="005807FC" w:rsidRPr="00E676E5" w:rsidRDefault="005807FC" w:rsidP="002B46D5">
            <w:pPr>
              <w:spacing w:after="120" w:line="240" w:lineRule="auto"/>
              <w:rPr>
                <w:rFonts w:cs="Calibri"/>
                <w:sz w:val="20"/>
                <w:szCs w:val="20"/>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A6A0AC" w14:textId="242EF5CF" w:rsidR="005807FC" w:rsidRPr="00640450" w:rsidRDefault="005807FC" w:rsidP="002B46D5">
            <w:pPr>
              <w:spacing w:after="120" w:line="240" w:lineRule="auto"/>
              <w:ind w:left="-108"/>
              <w:jc w:val="center"/>
              <w:rPr>
                <w:rFonts w:cs="Calibri"/>
                <w:b/>
                <w:bCs/>
                <w:sz w:val="20"/>
                <w:szCs w:val="20"/>
              </w:rPr>
            </w:pPr>
            <w:r w:rsidRPr="00640450">
              <w:rPr>
                <w:rFonts w:eastAsia="Times New Roman" w:cs="Calibri"/>
                <w:b/>
                <w:bCs/>
                <w:sz w:val="20"/>
                <w:szCs w:val="20"/>
              </w:rPr>
              <w:t>MAJOR</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12A" w14:textId="77777777" w:rsidR="005807FC" w:rsidRPr="00E676E5" w:rsidRDefault="005807FC" w:rsidP="002B46D5">
            <w:pPr>
              <w:spacing w:after="120" w:line="240" w:lineRule="auto"/>
              <w:rPr>
                <w:rFonts w:eastAsia="Times New Roman" w:cs="Calibri"/>
                <w:sz w:val="20"/>
                <w:szCs w:val="20"/>
              </w:rPr>
            </w:pPr>
            <w:r w:rsidRPr="00E676E5">
              <w:rPr>
                <w:rFonts w:eastAsia="Times New Roman" w:cs="Calibri"/>
                <w:sz w:val="20"/>
                <w:szCs w:val="20"/>
              </w:rPr>
              <w:t>Variations in the regulatory regime which impose special requirements in Canada versus the rest of the world correspondingly impose undue burden on Canadian companies and reduces our competitiveness internationally.   This limit requires the use of special packages not used by similar industry worldwide, with no safety benefit. </w:t>
            </w:r>
          </w:p>
          <w:p w14:paraId="596EE4D0" w14:textId="07302A11" w:rsidR="005807FC" w:rsidRPr="00E676E5" w:rsidRDefault="005807FC" w:rsidP="002B46D5">
            <w:pPr>
              <w:spacing w:after="120" w:line="240" w:lineRule="auto"/>
              <w:rPr>
                <w:rFonts w:cs="Calibri"/>
                <w:color w:val="000000" w:themeColor="text1"/>
                <w:sz w:val="20"/>
                <w:szCs w:val="20"/>
              </w:rPr>
            </w:pPr>
          </w:p>
        </w:tc>
      </w:tr>
      <w:tr w:rsidR="005807FC" w:rsidRPr="007D2238" w14:paraId="074DB8DB" w14:textId="77777777" w:rsidTr="005807FC">
        <w:trPr>
          <w:trHeight w:val="1387"/>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38C9" w14:textId="77777777" w:rsidR="005807FC" w:rsidRPr="00E069AB" w:rsidRDefault="005807FC" w:rsidP="00E069AB">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4FD048" w14:textId="23663098" w:rsidR="005807FC" w:rsidRPr="00640450" w:rsidRDefault="005807FC" w:rsidP="002B46D5">
            <w:pPr>
              <w:spacing w:after="120" w:line="240" w:lineRule="auto"/>
              <w:rPr>
                <w:rFonts w:cs="Calibri"/>
                <w:sz w:val="20"/>
                <w:szCs w:val="20"/>
              </w:rPr>
            </w:pPr>
            <w:r w:rsidRPr="00640450">
              <w:rPr>
                <w:rFonts w:eastAsia="Times New Roman" w:cs="Calibri"/>
                <w:sz w:val="20"/>
                <w:szCs w:val="20"/>
              </w:rPr>
              <w:t>5. Considerations for Potential Amendments to the Regulations and Anticipated Impacts</w:t>
            </w: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B59AC" w14:textId="77777777" w:rsidR="005807FC" w:rsidRPr="00E676E5" w:rsidRDefault="005807FC" w:rsidP="002B46D5">
            <w:pPr>
              <w:spacing w:after="120" w:line="240" w:lineRule="auto"/>
              <w:rPr>
                <w:rFonts w:eastAsia="Times New Roman" w:cs="Calibri"/>
                <w:sz w:val="20"/>
                <w:szCs w:val="20"/>
              </w:rPr>
            </w:pPr>
            <w:r w:rsidRPr="00E676E5">
              <w:rPr>
                <w:rFonts w:eastAsia="Times New Roman" w:cs="Calibri"/>
                <w:sz w:val="20"/>
                <w:szCs w:val="20"/>
              </w:rPr>
              <w:t xml:space="preserve">There is an opportunity to better align with the IAEA regulations on the definition of LSA material and Type IP-3 requirements.  </w:t>
            </w:r>
          </w:p>
          <w:p w14:paraId="2AF63DBD" w14:textId="196E981C" w:rsidR="005807FC" w:rsidRPr="00E676E5" w:rsidRDefault="005807FC" w:rsidP="002B46D5">
            <w:pPr>
              <w:spacing w:after="120" w:line="240" w:lineRule="auto"/>
              <w:rPr>
                <w:rFonts w:cs="Calibri"/>
                <w:color w:val="000000" w:themeColor="text1"/>
                <w:sz w:val="20"/>
                <w:szCs w:val="20"/>
              </w:rPr>
            </w:pPr>
            <w:r w:rsidRPr="00E676E5">
              <w:rPr>
                <w:rFonts w:eastAsia="Times New Roman" w:cs="Calibri"/>
                <w:sz w:val="20"/>
                <w:szCs w:val="20"/>
              </w:rPr>
              <w:t xml:space="preserve">The s.27(1) restriction requiring the use of Industrial Package Type IP-3 (Type IP-3) packages, unless the shipment is done as per 27(3), for the transport of Low Specific Activity (LSA) and Surface Contaminated Object (SCO) material in the PTNSR should be removed to harmonize with the IAEA SSR-6 Regulations.  S.27(3) is no longer needed if s.27(1) is deleted.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50309" w14:textId="42F7770C" w:rsidR="005807FC" w:rsidRPr="00E676E5" w:rsidRDefault="005807FC" w:rsidP="002B46D5">
            <w:pPr>
              <w:spacing w:after="120" w:line="240" w:lineRule="auto"/>
              <w:rPr>
                <w:rStyle w:val="sectionlabel"/>
                <w:rFonts w:cs="Calibri"/>
                <w:color w:val="000000"/>
                <w:sz w:val="20"/>
                <w:szCs w:val="20"/>
              </w:rPr>
            </w:pPr>
            <w:r w:rsidRPr="00E676E5">
              <w:rPr>
                <w:rStyle w:val="sectionlabel"/>
                <w:rFonts w:cs="Calibri"/>
                <w:color w:val="000000"/>
                <w:sz w:val="20"/>
                <w:szCs w:val="20"/>
              </w:rPr>
              <w:t xml:space="preserve">Recommend deleting s.27(1) and </w:t>
            </w:r>
            <w:proofErr w:type="gramStart"/>
            <w:r w:rsidRPr="00E676E5">
              <w:rPr>
                <w:rStyle w:val="sectionlabel"/>
                <w:rFonts w:cs="Calibri"/>
                <w:color w:val="000000"/>
                <w:sz w:val="20"/>
                <w:szCs w:val="20"/>
              </w:rPr>
              <w:t>s.(</w:t>
            </w:r>
            <w:proofErr w:type="gramEnd"/>
            <w:r w:rsidRPr="00E676E5">
              <w:rPr>
                <w:rStyle w:val="sectionlabel"/>
                <w:rFonts w:cs="Calibri"/>
                <w:color w:val="000000"/>
                <w:sz w:val="20"/>
                <w:szCs w:val="20"/>
              </w:rPr>
              <w:t>27(3).</w:t>
            </w:r>
          </w:p>
          <w:p w14:paraId="43AB3E7F" w14:textId="2CAEEC59" w:rsidR="005807FC" w:rsidRPr="00E676E5" w:rsidRDefault="005807FC" w:rsidP="002B46D5">
            <w:pPr>
              <w:spacing w:after="120" w:line="240" w:lineRule="auto"/>
              <w:rPr>
                <w:rFonts w:cs="Calibri"/>
                <w:color w:val="333333"/>
                <w:sz w:val="20"/>
                <w:szCs w:val="20"/>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968E1" w14:textId="0004B05C" w:rsidR="005807FC" w:rsidRPr="00640450" w:rsidRDefault="005807FC" w:rsidP="002B46D5">
            <w:pPr>
              <w:spacing w:after="120" w:line="240" w:lineRule="auto"/>
              <w:ind w:left="-108"/>
              <w:jc w:val="center"/>
              <w:rPr>
                <w:rFonts w:cs="Calibri"/>
                <w:b/>
                <w:bCs/>
                <w:sz w:val="20"/>
                <w:szCs w:val="20"/>
              </w:rPr>
            </w:pPr>
            <w:r w:rsidRPr="00640450">
              <w:rPr>
                <w:rFonts w:cs="Calibri"/>
                <w:b/>
                <w:bCs/>
                <w:sz w:val="20"/>
                <w:szCs w:val="20"/>
              </w:rPr>
              <w:t>MAJOR</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E6435" w14:textId="77777777" w:rsidR="005807FC" w:rsidRPr="00E676E5" w:rsidRDefault="005807FC" w:rsidP="002B46D5">
            <w:pPr>
              <w:spacing w:after="120" w:line="240" w:lineRule="auto"/>
              <w:rPr>
                <w:rFonts w:eastAsia="Times New Roman" w:cs="Calibri"/>
                <w:sz w:val="20"/>
                <w:szCs w:val="20"/>
              </w:rPr>
            </w:pPr>
            <w:r w:rsidRPr="00E676E5">
              <w:rPr>
                <w:rFonts w:eastAsia="Times New Roman" w:cs="Calibri"/>
                <w:sz w:val="20"/>
                <w:szCs w:val="20"/>
              </w:rPr>
              <w:t>This limit does not exist in any other national or international regulation and prevents the effective transport of LSA and SCO material across the border.  All other jurisdictions in the world have safely transported LSA and SCO material in Industrial Package Type IP-1 or IP-2 packages for decades without issues.  There is no reason for this more stringent restriction in Canada.</w:t>
            </w:r>
          </w:p>
          <w:p w14:paraId="018931F2" w14:textId="1B1FEE02" w:rsidR="005807FC" w:rsidRPr="00E676E5" w:rsidRDefault="005807FC" w:rsidP="002B46D5">
            <w:pPr>
              <w:spacing w:after="120" w:line="240" w:lineRule="auto"/>
              <w:rPr>
                <w:rFonts w:cs="Calibri"/>
                <w:color w:val="000000" w:themeColor="text1"/>
                <w:sz w:val="20"/>
                <w:szCs w:val="20"/>
              </w:rPr>
            </w:pPr>
            <w:r w:rsidRPr="00E676E5">
              <w:rPr>
                <w:rFonts w:eastAsia="Times New Roman" w:cs="Calibri"/>
                <w:sz w:val="20"/>
                <w:szCs w:val="20"/>
              </w:rPr>
              <w:t>This has caused difficulties for foreign consignors who follow the international regulations and use Type IP-1 packages to ship LSA-I samples to Canada in non-exclusive use transportation. Once such packages arrive in Canada, they do not meet the PTNSR and cannot be shipped within Canada.</w:t>
            </w:r>
          </w:p>
        </w:tc>
      </w:tr>
      <w:tr w:rsidR="005807FC" w:rsidRPr="007D2238" w14:paraId="24F25B4D" w14:textId="77777777" w:rsidTr="005807FC">
        <w:trPr>
          <w:trHeight w:val="119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1770" w14:textId="77777777" w:rsidR="005807FC" w:rsidRPr="00E069AB" w:rsidRDefault="005807FC" w:rsidP="00E069AB">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569CB3" w14:textId="7D69A408" w:rsidR="005807FC" w:rsidRPr="00640450" w:rsidRDefault="005807FC" w:rsidP="002B46D5">
            <w:pPr>
              <w:spacing w:after="120" w:line="240" w:lineRule="auto"/>
              <w:rPr>
                <w:rFonts w:cs="Calibri"/>
                <w:sz w:val="20"/>
                <w:szCs w:val="20"/>
              </w:rPr>
            </w:pPr>
            <w:r w:rsidRPr="00640450">
              <w:rPr>
                <w:rFonts w:cs="Calibri"/>
                <w:sz w:val="20"/>
                <w:szCs w:val="20"/>
              </w:rPr>
              <w:t>6.1 Proposed amendment: align the retention period for dose records.</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491E" w14:textId="03672754" w:rsidR="005807FC" w:rsidRPr="00640450" w:rsidRDefault="005807FC" w:rsidP="002B46D5">
            <w:pPr>
              <w:spacing w:after="120" w:line="240" w:lineRule="auto"/>
              <w:rPr>
                <w:rFonts w:cs="Calibri"/>
                <w:sz w:val="20"/>
                <w:szCs w:val="20"/>
              </w:rPr>
            </w:pPr>
            <w:r w:rsidRPr="00E676E5">
              <w:rPr>
                <w:rFonts w:cs="Calibri"/>
                <w:color w:val="000000"/>
                <w:sz w:val="20"/>
                <w:szCs w:val="20"/>
              </w:rPr>
              <w:t xml:space="preserve">The records kept under s.31(2)(a) are not limited to dose records; there are many other documents that are used to describe the packaging, </w:t>
            </w:r>
            <w:proofErr w:type="gramStart"/>
            <w:r w:rsidRPr="00E676E5">
              <w:rPr>
                <w:rFonts w:cs="Calibri"/>
                <w:color w:val="000000"/>
                <w:sz w:val="20"/>
                <w:szCs w:val="20"/>
              </w:rPr>
              <w:t>transport</w:t>
            </w:r>
            <w:proofErr w:type="gramEnd"/>
            <w:r w:rsidRPr="00E676E5">
              <w:rPr>
                <w:rFonts w:cs="Calibri"/>
                <w:color w:val="000000"/>
                <w:sz w:val="20"/>
                <w:szCs w:val="20"/>
              </w:rPr>
              <w:t xml:space="preserve"> and shipping of nuclear substances.</w:t>
            </w:r>
          </w:p>
          <w:p w14:paraId="3AC66588" w14:textId="300911B7" w:rsidR="005807FC" w:rsidRPr="00E676E5" w:rsidRDefault="005807FC" w:rsidP="002B46D5">
            <w:pPr>
              <w:spacing w:after="120" w:line="240" w:lineRule="auto"/>
              <w:rPr>
                <w:rFonts w:cs="Calibri"/>
                <w:color w:val="000000" w:themeColor="text1"/>
                <w:sz w:val="20"/>
                <w:szCs w:val="20"/>
              </w:rPr>
            </w:pPr>
            <w:r w:rsidRPr="00640450">
              <w:rPr>
                <w:rFonts w:cs="Calibri"/>
                <w:sz w:val="20"/>
                <w:szCs w:val="20"/>
              </w:rPr>
              <w:t>There is potential confusion with the proposed amendment regarding which records are required to be retained which could result in retaining records unnecessarily.</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1D876" w14:textId="664BABFD" w:rsidR="005807FC" w:rsidRPr="00E676E5" w:rsidRDefault="005807FC" w:rsidP="002B46D5">
            <w:pPr>
              <w:spacing w:after="120" w:line="240" w:lineRule="auto"/>
              <w:rPr>
                <w:rFonts w:cs="Calibri"/>
                <w:sz w:val="20"/>
                <w:szCs w:val="20"/>
              </w:rPr>
            </w:pPr>
            <w:r w:rsidRPr="00E676E5">
              <w:rPr>
                <w:rFonts w:cs="Calibri"/>
                <w:color w:val="000000"/>
                <w:sz w:val="20"/>
                <w:szCs w:val="20"/>
              </w:rPr>
              <w:t>Clarify if all documents or just dose records are required to be retained for five years.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20B3" w14:textId="61B5803A" w:rsidR="005807FC" w:rsidRPr="00640450" w:rsidRDefault="005807FC" w:rsidP="002B46D5">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55A34" w14:textId="0011F82F" w:rsidR="005807FC" w:rsidRPr="00E676E5" w:rsidRDefault="005807FC" w:rsidP="002B46D5">
            <w:pPr>
              <w:spacing w:after="120" w:line="240" w:lineRule="auto"/>
              <w:rPr>
                <w:rFonts w:cs="Calibri"/>
                <w:strike/>
                <w:color w:val="000000" w:themeColor="text1"/>
                <w:sz w:val="20"/>
                <w:szCs w:val="20"/>
              </w:rPr>
            </w:pPr>
          </w:p>
        </w:tc>
      </w:tr>
      <w:tr w:rsidR="005807FC" w:rsidRPr="007D2238" w14:paraId="70979F9E" w14:textId="77777777" w:rsidTr="005807FC">
        <w:trPr>
          <w:trHeight w:val="50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7347" w14:textId="77777777" w:rsidR="005807FC" w:rsidRPr="00E069AB" w:rsidRDefault="005807FC" w:rsidP="00E069AB">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F6E98D" w14:textId="4D99A6DE" w:rsidR="005807FC" w:rsidRPr="00640450" w:rsidRDefault="005807FC" w:rsidP="002B46D5">
            <w:pPr>
              <w:spacing w:after="120" w:line="240" w:lineRule="auto"/>
              <w:rPr>
                <w:rFonts w:cs="Calibri"/>
                <w:sz w:val="20"/>
                <w:szCs w:val="20"/>
              </w:rPr>
            </w:pPr>
            <w:r w:rsidRPr="00640450">
              <w:rPr>
                <w:rFonts w:cs="Calibri"/>
                <w:sz w:val="20"/>
                <w:szCs w:val="20"/>
              </w:rPr>
              <w:t>6.4 Proposed amendment: clarify the regulatory intent for workplace and individual monitoring of doses to persons.</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8D8F" w14:textId="5034C1D7" w:rsidR="005807FC" w:rsidRPr="00E676E5" w:rsidRDefault="005807FC" w:rsidP="002B46D5">
            <w:pPr>
              <w:spacing w:after="120" w:line="240" w:lineRule="auto"/>
              <w:rPr>
                <w:rFonts w:cs="Calibri"/>
                <w:color w:val="000000" w:themeColor="text1"/>
                <w:sz w:val="20"/>
                <w:szCs w:val="20"/>
              </w:rPr>
            </w:pPr>
            <w:r w:rsidRPr="00E676E5">
              <w:rPr>
                <w:rFonts w:cs="Calibri"/>
                <w:color w:val="000000"/>
                <w:sz w:val="20"/>
                <w:szCs w:val="20"/>
              </w:rPr>
              <w:t>This section refers to s.5.3 that does not exist in the document.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5576E" w14:textId="4AC8E03C" w:rsidR="005807FC" w:rsidRPr="00E676E5" w:rsidRDefault="005807FC" w:rsidP="002B46D5">
            <w:pPr>
              <w:spacing w:after="120" w:line="240" w:lineRule="auto"/>
              <w:rPr>
                <w:rFonts w:cs="Calibri"/>
                <w:sz w:val="20"/>
                <w:szCs w:val="20"/>
              </w:rPr>
            </w:pPr>
            <w:r w:rsidRPr="00E676E5">
              <w:rPr>
                <w:rFonts w:cs="Calibri"/>
                <w:color w:val="000000"/>
                <w:sz w:val="20"/>
                <w:szCs w:val="20"/>
              </w:rPr>
              <w:t>Change “5.3” to “6.3”.</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DE72" w14:textId="174F32FE" w:rsidR="005807FC" w:rsidRPr="00640450" w:rsidRDefault="005807FC" w:rsidP="002B46D5">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D79D4" w14:textId="77777777" w:rsidR="005807FC" w:rsidRPr="00E676E5" w:rsidRDefault="005807FC" w:rsidP="002B46D5">
            <w:pPr>
              <w:spacing w:after="120" w:line="240" w:lineRule="auto"/>
              <w:rPr>
                <w:rFonts w:cs="Calibri"/>
                <w:color w:val="000000" w:themeColor="text1"/>
                <w:sz w:val="20"/>
                <w:szCs w:val="20"/>
              </w:rPr>
            </w:pPr>
          </w:p>
        </w:tc>
      </w:tr>
      <w:tr w:rsidR="00FF2DB6" w:rsidRPr="007D2238" w14:paraId="2AA259EE" w14:textId="77777777" w:rsidTr="00654504">
        <w:trPr>
          <w:trHeight w:val="253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1C47"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9278FDC" w14:textId="6D18CC6B" w:rsidR="00FF2DB6" w:rsidRPr="00FF2DB6" w:rsidRDefault="00FF2DB6" w:rsidP="00FF2DB6">
            <w:pPr>
              <w:spacing w:after="120" w:line="240" w:lineRule="auto"/>
              <w:rPr>
                <w:rFonts w:cs="Calibri"/>
                <w:sz w:val="20"/>
                <w:szCs w:val="20"/>
                <w:highlight w:val="yellow"/>
              </w:rPr>
            </w:pPr>
            <w:r w:rsidRPr="00711439">
              <w:rPr>
                <w:rFonts w:cs="Calibri"/>
                <w:color w:val="000000"/>
                <w:sz w:val="20"/>
                <w:szCs w:val="20"/>
              </w:rPr>
              <w:t>7.6, Proposed amendment: clarify reporting requirements for improperly classified material</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705AD" w14:textId="4BABA9A9" w:rsidR="00FF2DB6" w:rsidRDefault="00FF2DB6" w:rsidP="00FF2DB6">
            <w:pPr>
              <w:pStyle w:val="paragraph"/>
              <w:autoSpaceDN w:val="0"/>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This proposed amendment </w:t>
            </w:r>
            <w:r w:rsidR="007E39BD">
              <w:rPr>
                <w:rStyle w:val="normaltextrun"/>
                <w:rFonts w:ascii="Calibri" w:hAnsi="Calibri" w:cs="Calibri"/>
                <w:sz w:val="20"/>
                <w:szCs w:val="20"/>
              </w:rPr>
              <w:t>is not a positive clarification and will have impacts</w:t>
            </w:r>
            <w:r>
              <w:rPr>
                <w:rStyle w:val="normaltextrun"/>
                <w:rFonts w:ascii="Calibri" w:hAnsi="Calibri" w:cs="Calibri"/>
                <w:sz w:val="20"/>
                <w:szCs w:val="20"/>
              </w:rPr>
              <w:t xml:space="preserve">.  </w:t>
            </w:r>
            <w:r w:rsidR="007E39BD">
              <w:rPr>
                <w:rStyle w:val="normaltextrun"/>
                <w:rFonts w:ascii="Calibri" w:hAnsi="Calibri" w:cs="Calibri"/>
                <w:sz w:val="20"/>
                <w:szCs w:val="20"/>
              </w:rPr>
              <w:t>Of note and</w:t>
            </w:r>
            <w:r>
              <w:rPr>
                <w:rStyle w:val="normaltextrun"/>
                <w:rFonts w:ascii="Calibri" w:hAnsi="Calibri" w:cs="Calibri"/>
                <w:sz w:val="20"/>
                <w:szCs w:val="20"/>
              </w:rPr>
              <w:t xml:space="preserve"> per the IAEA regulations materials can be classified as:</w:t>
            </w:r>
            <w:r>
              <w:rPr>
                <w:rStyle w:val="eop"/>
                <w:rFonts w:ascii="Calibri" w:hAnsi="Calibri" w:cs="Calibri"/>
                <w:sz w:val="20"/>
                <w:szCs w:val="20"/>
              </w:rPr>
              <w:t> </w:t>
            </w:r>
          </w:p>
          <w:p w14:paraId="6A51B1C2" w14:textId="77777777" w:rsidR="00FF2DB6" w:rsidRDefault="00FF2DB6" w:rsidP="007E39BD">
            <w:pPr>
              <w:pStyle w:val="paragraph"/>
              <w:numPr>
                <w:ilvl w:val="0"/>
                <w:numId w:val="42"/>
              </w:numPr>
              <w:autoSpaceDN w:val="0"/>
              <w:spacing w:before="0" w:beforeAutospacing="0" w:after="0" w:afterAutospacing="0"/>
              <w:ind w:left="288" w:firstLine="0"/>
              <w:textAlignment w:val="baseline"/>
              <w:rPr>
                <w:rFonts w:ascii="Calibri" w:hAnsi="Calibri" w:cs="Calibri"/>
                <w:sz w:val="20"/>
                <w:szCs w:val="20"/>
              </w:rPr>
            </w:pPr>
            <w:r>
              <w:rPr>
                <w:rStyle w:val="normaltextrun"/>
                <w:rFonts w:ascii="Calibri" w:hAnsi="Calibri" w:cs="Calibri"/>
                <w:sz w:val="20"/>
                <w:szCs w:val="20"/>
              </w:rPr>
              <w:t>Low specific activity material (LSA)</w:t>
            </w:r>
            <w:r>
              <w:rPr>
                <w:rStyle w:val="eop"/>
                <w:rFonts w:ascii="Calibri" w:hAnsi="Calibri" w:cs="Calibri"/>
                <w:sz w:val="20"/>
                <w:szCs w:val="20"/>
              </w:rPr>
              <w:t> </w:t>
            </w:r>
          </w:p>
          <w:p w14:paraId="5B1D5FAD" w14:textId="77777777" w:rsidR="00FF2DB6" w:rsidRDefault="00FF2DB6" w:rsidP="007E39BD">
            <w:pPr>
              <w:pStyle w:val="paragraph"/>
              <w:numPr>
                <w:ilvl w:val="0"/>
                <w:numId w:val="42"/>
              </w:numPr>
              <w:autoSpaceDN w:val="0"/>
              <w:spacing w:before="0" w:beforeAutospacing="0" w:after="0" w:afterAutospacing="0"/>
              <w:ind w:left="288" w:firstLine="0"/>
              <w:textAlignment w:val="baseline"/>
              <w:rPr>
                <w:rFonts w:ascii="Calibri" w:hAnsi="Calibri" w:cs="Calibri"/>
                <w:sz w:val="20"/>
                <w:szCs w:val="20"/>
              </w:rPr>
            </w:pPr>
            <w:r>
              <w:rPr>
                <w:rStyle w:val="normaltextrun"/>
                <w:rFonts w:ascii="Calibri" w:hAnsi="Calibri" w:cs="Calibri"/>
                <w:sz w:val="20"/>
                <w:szCs w:val="20"/>
              </w:rPr>
              <w:t>Surface contaminated object (SCO)</w:t>
            </w:r>
            <w:r>
              <w:rPr>
                <w:rStyle w:val="eop"/>
                <w:rFonts w:ascii="Calibri" w:hAnsi="Calibri" w:cs="Calibri"/>
                <w:sz w:val="20"/>
                <w:szCs w:val="20"/>
              </w:rPr>
              <w:t> </w:t>
            </w:r>
          </w:p>
          <w:p w14:paraId="10EC67E3" w14:textId="77777777" w:rsidR="00FF2DB6" w:rsidRDefault="00FF2DB6" w:rsidP="007E39BD">
            <w:pPr>
              <w:pStyle w:val="paragraph"/>
              <w:numPr>
                <w:ilvl w:val="0"/>
                <w:numId w:val="42"/>
              </w:numPr>
              <w:autoSpaceDN w:val="0"/>
              <w:spacing w:before="0" w:beforeAutospacing="0" w:after="0" w:afterAutospacing="0"/>
              <w:ind w:left="288" w:firstLine="0"/>
              <w:textAlignment w:val="baseline"/>
              <w:rPr>
                <w:rFonts w:ascii="Calibri" w:hAnsi="Calibri" w:cs="Calibri"/>
                <w:sz w:val="20"/>
                <w:szCs w:val="20"/>
              </w:rPr>
            </w:pPr>
            <w:r>
              <w:rPr>
                <w:rStyle w:val="normaltextrun"/>
                <w:rFonts w:ascii="Calibri" w:hAnsi="Calibri" w:cs="Calibri"/>
                <w:sz w:val="20"/>
                <w:szCs w:val="20"/>
              </w:rPr>
              <w:t>Special form radioactive material</w:t>
            </w:r>
            <w:r>
              <w:rPr>
                <w:rStyle w:val="eop"/>
                <w:rFonts w:ascii="Calibri" w:hAnsi="Calibri" w:cs="Calibri"/>
                <w:sz w:val="20"/>
                <w:szCs w:val="20"/>
              </w:rPr>
              <w:t> </w:t>
            </w:r>
          </w:p>
          <w:p w14:paraId="585A227D" w14:textId="77777777" w:rsidR="00FF2DB6" w:rsidRDefault="00FF2DB6" w:rsidP="007E39BD">
            <w:pPr>
              <w:pStyle w:val="paragraph"/>
              <w:numPr>
                <w:ilvl w:val="0"/>
                <w:numId w:val="42"/>
              </w:numPr>
              <w:autoSpaceDN w:val="0"/>
              <w:spacing w:before="0" w:beforeAutospacing="0" w:after="0" w:afterAutospacing="0"/>
              <w:ind w:left="288" w:firstLine="0"/>
              <w:textAlignment w:val="baseline"/>
              <w:rPr>
                <w:rFonts w:ascii="Calibri" w:hAnsi="Calibri" w:cs="Calibri"/>
                <w:sz w:val="20"/>
                <w:szCs w:val="20"/>
              </w:rPr>
            </w:pPr>
            <w:r>
              <w:rPr>
                <w:rStyle w:val="normaltextrun"/>
                <w:rFonts w:ascii="Calibri" w:hAnsi="Calibri" w:cs="Calibri"/>
                <w:sz w:val="20"/>
                <w:szCs w:val="20"/>
              </w:rPr>
              <w:t>Low dispersible radioactive material (not used)</w:t>
            </w:r>
            <w:r>
              <w:rPr>
                <w:rStyle w:val="eop"/>
                <w:rFonts w:ascii="Calibri" w:hAnsi="Calibri" w:cs="Calibri"/>
                <w:sz w:val="20"/>
                <w:szCs w:val="20"/>
              </w:rPr>
              <w:t> </w:t>
            </w:r>
          </w:p>
          <w:p w14:paraId="14EA0A00" w14:textId="77777777" w:rsidR="00FF2DB6" w:rsidRDefault="00FF2DB6" w:rsidP="007E39BD">
            <w:pPr>
              <w:pStyle w:val="paragraph"/>
              <w:numPr>
                <w:ilvl w:val="0"/>
                <w:numId w:val="42"/>
              </w:numPr>
              <w:autoSpaceDN w:val="0"/>
              <w:spacing w:before="0" w:beforeAutospacing="0" w:after="0" w:afterAutospacing="0"/>
              <w:ind w:left="288" w:firstLine="0"/>
              <w:textAlignment w:val="baseline"/>
              <w:rPr>
                <w:rFonts w:ascii="Calibri" w:hAnsi="Calibri" w:cs="Calibri"/>
                <w:sz w:val="20"/>
                <w:szCs w:val="20"/>
              </w:rPr>
            </w:pPr>
            <w:r>
              <w:rPr>
                <w:rStyle w:val="normaltextrun"/>
                <w:rFonts w:ascii="Calibri" w:hAnsi="Calibri" w:cs="Calibri"/>
                <w:sz w:val="20"/>
                <w:szCs w:val="20"/>
              </w:rPr>
              <w:t>Fissile material</w:t>
            </w:r>
            <w:r>
              <w:rPr>
                <w:rStyle w:val="eop"/>
                <w:rFonts w:ascii="Calibri" w:hAnsi="Calibri" w:cs="Calibri"/>
                <w:sz w:val="20"/>
                <w:szCs w:val="20"/>
              </w:rPr>
              <w:t> </w:t>
            </w:r>
          </w:p>
          <w:p w14:paraId="718E6DC0" w14:textId="77777777" w:rsidR="00FF2DB6" w:rsidRDefault="00FF2DB6" w:rsidP="007E39BD">
            <w:pPr>
              <w:pStyle w:val="paragraph"/>
              <w:numPr>
                <w:ilvl w:val="0"/>
                <w:numId w:val="42"/>
              </w:numPr>
              <w:autoSpaceDN w:val="0"/>
              <w:spacing w:before="0" w:beforeAutospacing="0" w:after="0" w:afterAutospacing="0"/>
              <w:ind w:left="288" w:firstLine="0"/>
              <w:textAlignment w:val="baseline"/>
              <w:rPr>
                <w:rFonts w:ascii="Calibri" w:hAnsi="Calibri" w:cs="Calibri"/>
                <w:sz w:val="20"/>
                <w:szCs w:val="20"/>
              </w:rPr>
            </w:pPr>
            <w:r>
              <w:rPr>
                <w:rStyle w:val="normaltextrun"/>
                <w:rFonts w:ascii="Calibri" w:hAnsi="Calibri" w:cs="Calibri"/>
                <w:sz w:val="20"/>
                <w:szCs w:val="20"/>
              </w:rPr>
              <w:t>Uranium hexafluoride</w:t>
            </w:r>
            <w:r>
              <w:rPr>
                <w:rStyle w:val="eop"/>
                <w:rFonts w:ascii="Calibri" w:hAnsi="Calibri" w:cs="Calibri"/>
                <w:sz w:val="20"/>
                <w:szCs w:val="20"/>
              </w:rPr>
              <w:t> </w:t>
            </w:r>
          </w:p>
          <w:p w14:paraId="23A9EDD3" w14:textId="77777777" w:rsidR="007E39BD" w:rsidRDefault="007E39BD" w:rsidP="00FF2DB6">
            <w:pPr>
              <w:pStyle w:val="paragraph"/>
              <w:autoSpaceDN w:val="0"/>
              <w:spacing w:before="0" w:beforeAutospacing="0" w:after="0" w:afterAutospacing="0"/>
              <w:textAlignment w:val="baseline"/>
              <w:rPr>
                <w:rStyle w:val="normaltextrun"/>
                <w:rFonts w:ascii="Calibri" w:hAnsi="Calibri" w:cs="Calibri"/>
                <w:sz w:val="20"/>
                <w:szCs w:val="20"/>
              </w:rPr>
            </w:pPr>
          </w:p>
          <w:p w14:paraId="1E77C75E" w14:textId="434E0887" w:rsidR="007E39BD" w:rsidRDefault="007E39BD" w:rsidP="00FF2DB6">
            <w:pPr>
              <w:pStyle w:val="paragraph"/>
              <w:autoSpaceDN w:val="0"/>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Does the change have merit given the frequency </w:t>
            </w:r>
            <w:r w:rsidR="00FF2DB6">
              <w:rPr>
                <w:rStyle w:val="normaltextrun"/>
                <w:rFonts w:ascii="Calibri" w:hAnsi="Calibri" w:cs="Calibri"/>
                <w:sz w:val="20"/>
                <w:szCs w:val="20"/>
              </w:rPr>
              <w:t xml:space="preserve">these materials improperly classified?  </w:t>
            </w:r>
          </w:p>
          <w:p w14:paraId="414D088E" w14:textId="77777777" w:rsidR="007E39BD" w:rsidRDefault="007E39BD" w:rsidP="00FF2DB6">
            <w:pPr>
              <w:pStyle w:val="paragraph"/>
              <w:autoSpaceDN w:val="0"/>
              <w:spacing w:before="0" w:beforeAutospacing="0" w:after="0" w:afterAutospacing="0"/>
              <w:textAlignment w:val="baseline"/>
              <w:rPr>
                <w:rStyle w:val="normaltextrun"/>
                <w:rFonts w:ascii="Calibri" w:hAnsi="Calibri" w:cs="Calibri"/>
                <w:sz w:val="20"/>
                <w:szCs w:val="20"/>
              </w:rPr>
            </w:pPr>
          </w:p>
          <w:p w14:paraId="00155118" w14:textId="3DF8959E" w:rsidR="00FF2DB6" w:rsidRDefault="009E5034" w:rsidP="00FF2DB6">
            <w:pPr>
              <w:pStyle w:val="paragraph"/>
              <w:autoSpaceDN w:val="0"/>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Considering i</w:t>
            </w:r>
            <w:r w:rsidR="00FF2DB6">
              <w:rPr>
                <w:rStyle w:val="normaltextrun"/>
                <w:rFonts w:ascii="Calibri" w:hAnsi="Calibri" w:cs="Calibri"/>
                <w:sz w:val="20"/>
                <w:szCs w:val="20"/>
              </w:rPr>
              <w:t>t may at times be difficult to distinguish between LSA and SCO materials, if the material is packaged correctly does it make a difference?  </w:t>
            </w:r>
            <w:r w:rsidR="00FF2DB6">
              <w:rPr>
                <w:rStyle w:val="eop"/>
                <w:rFonts w:ascii="Calibri" w:hAnsi="Calibri" w:cs="Calibri"/>
                <w:sz w:val="20"/>
                <w:szCs w:val="20"/>
              </w:rPr>
              <w:t> </w:t>
            </w:r>
          </w:p>
          <w:p w14:paraId="3BD2667F" w14:textId="77777777" w:rsidR="009E5034" w:rsidRDefault="009E5034" w:rsidP="00FF2DB6">
            <w:pPr>
              <w:pStyle w:val="paragraph"/>
              <w:autoSpaceDN w:val="0"/>
              <w:spacing w:before="0" w:beforeAutospacing="0" w:after="0" w:afterAutospacing="0"/>
              <w:textAlignment w:val="baseline"/>
              <w:rPr>
                <w:rFonts w:ascii="Segoe UI" w:hAnsi="Segoe UI" w:cs="Segoe UI"/>
                <w:sz w:val="18"/>
                <w:szCs w:val="18"/>
              </w:rPr>
            </w:pPr>
          </w:p>
          <w:p w14:paraId="6DC6AA02" w14:textId="46D572C9" w:rsidR="00FF2DB6" w:rsidRPr="00E676E5" w:rsidRDefault="009E5034" w:rsidP="00FF2DB6">
            <w:pPr>
              <w:pStyle w:val="paragraph"/>
              <w:autoSpaceDN w:val="0"/>
              <w:spacing w:before="0" w:beforeAutospacing="0" w:after="0" w:afterAutospacing="0"/>
              <w:textAlignment w:val="baseline"/>
              <w:rPr>
                <w:rFonts w:cs="Calibri"/>
                <w:color w:val="000000" w:themeColor="text1"/>
                <w:sz w:val="20"/>
                <w:szCs w:val="20"/>
              </w:rPr>
            </w:pPr>
            <w:r>
              <w:rPr>
                <w:rStyle w:val="normaltextrun"/>
                <w:rFonts w:ascii="Calibri" w:hAnsi="Calibri" w:cs="Calibri"/>
                <w:sz w:val="20"/>
                <w:szCs w:val="20"/>
              </w:rPr>
              <w:t xml:space="preserve">Please clarify the actual </w:t>
            </w:r>
            <w:r w:rsidR="00FF2DB6">
              <w:rPr>
                <w:rStyle w:val="normaltextrun"/>
                <w:rFonts w:ascii="Calibri" w:hAnsi="Calibri" w:cs="Calibri"/>
                <w:sz w:val="20"/>
                <w:szCs w:val="20"/>
              </w:rPr>
              <w:t xml:space="preserve">concern with respect to the classification of </w:t>
            </w:r>
            <w:r>
              <w:rPr>
                <w:rStyle w:val="normaltextrun"/>
                <w:rFonts w:ascii="Calibri" w:hAnsi="Calibri" w:cs="Calibri"/>
                <w:sz w:val="20"/>
                <w:szCs w:val="20"/>
              </w:rPr>
              <w:t>packages.</w:t>
            </w:r>
            <w:r w:rsidR="00FF2DB6">
              <w:rPr>
                <w:rStyle w:val="normaltextrun"/>
                <w:rFonts w:ascii="Calibri" w:hAnsi="Calibri" w:cs="Calibri"/>
                <w:sz w:val="20"/>
                <w:szCs w:val="20"/>
              </w:rPr>
              <w:t>  A consignor may decide to use a Type A package for a material that can be transported in an excepted package.  Is this material not properly classified even though the packaging used is more robust?</w:t>
            </w:r>
            <w:r w:rsidR="00FF2DB6">
              <w:rPr>
                <w:rStyle w:val="eop"/>
                <w:rFonts w:ascii="Calibri" w:hAnsi="Calibri" w:cs="Calibri"/>
                <w:sz w:val="20"/>
                <w:szCs w:val="20"/>
              </w:rPr>
              <w:t> </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5786D" w14:textId="4DF71E45" w:rsidR="00FF2DB6" w:rsidRDefault="009E5034" w:rsidP="00FF2DB6">
            <w:pPr>
              <w:spacing w:after="120" w:line="240" w:lineRule="auto"/>
              <w:rPr>
                <w:rStyle w:val="normaltextrun"/>
              </w:rPr>
            </w:pPr>
            <w:r>
              <w:rPr>
                <w:rStyle w:val="normaltextrun"/>
                <w:rFonts w:cs="Calibri"/>
                <w:color w:val="000000"/>
                <w:sz w:val="20"/>
                <w:szCs w:val="20"/>
                <w:shd w:val="clear" w:color="auto" w:fill="FFFFFF"/>
              </w:rPr>
              <w:t>Clarify why this clarification is required or else d</w:t>
            </w:r>
            <w:r w:rsidR="00FF2DB6">
              <w:rPr>
                <w:rStyle w:val="normaltextrun"/>
                <w:rFonts w:cs="Calibri"/>
                <w:color w:val="000000"/>
                <w:sz w:val="20"/>
                <w:szCs w:val="20"/>
                <w:shd w:val="clear" w:color="auto" w:fill="FFFFFF"/>
              </w:rPr>
              <w:t>elete 7.6 Proposed amendment: clarify reporting requirements for improperly classified material.</w:t>
            </w:r>
            <w:r w:rsidR="00FF2DB6">
              <w:rPr>
                <w:rStyle w:val="normaltextrun"/>
              </w:rPr>
              <w:t> </w:t>
            </w:r>
          </w:p>
          <w:p w14:paraId="79750CAE" w14:textId="1C510F7D" w:rsidR="00FF2DB6" w:rsidRPr="00E676E5" w:rsidRDefault="00FF2DB6" w:rsidP="00FF2DB6">
            <w:pPr>
              <w:spacing w:after="120" w:line="240" w:lineRule="auto"/>
              <w:rPr>
                <w:rFonts w:cs="Calibri"/>
                <w:sz w:val="20"/>
                <w:szCs w:val="20"/>
              </w:rPr>
            </w:pP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45617" w14:textId="4222AA0B" w:rsidR="00FF2DB6" w:rsidRPr="00640450" w:rsidRDefault="00FF2DB6" w:rsidP="00FF2DB6">
            <w:pPr>
              <w:spacing w:after="120" w:line="240" w:lineRule="auto"/>
              <w:ind w:left="-108"/>
              <w:jc w:val="center"/>
              <w:rPr>
                <w:rFonts w:cs="Calibri"/>
                <w:b/>
                <w:bCs/>
                <w:sz w:val="20"/>
                <w:szCs w:val="20"/>
              </w:rPr>
            </w:pPr>
            <w:r>
              <w:rPr>
                <w:rFonts w:cs="Calibri"/>
                <w:b/>
                <w:bCs/>
                <w:sz w:val="20"/>
                <w:szCs w:val="20"/>
              </w:rPr>
              <w:t>MAJOR</w:t>
            </w:r>
          </w:p>
        </w:tc>
        <w:tc>
          <w:tcPr>
            <w:tcW w:w="5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72F7" w14:textId="2AEC9DF1" w:rsidR="00FF2DB6" w:rsidRPr="00640450" w:rsidRDefault="00FF2DB6" w:rsidP="00FF2DB6">
            <w:pPr>
              <w:spacing w:after="120" w:line="240" w:lineRule="auto"/>
              <w:rPr>
                <w:rFonts w:cs="Calibri"/>
                <w:sz w:val="20"/>
                <w:szCs w:val="20"/>
              </w:rPr>
            </w:pPr>
            <w:r>
              <w:rPr>
                <w:rStyle w:val="normaltextrun"/>
                <w:rFonts w:cs="Calibri"/>
                <w:color w:val="000000"/>
                <w:sz w:val="20"/>
                <w:szCs w:val="20"/>
                <w:shd w:val="clear" w:color="auto" w:fill="FFFFFF"/>
              </w:rPr>
              <w:t>Disagree there will be no impact</w:t>
            </w:r>
            <w:r w:rsidR="009E5034">
              <w:rPr>
                <w:rStyle w:val="normaltextrun"/>
                <w:rFonts w:cs="Calibri"/>
                <w:color w:val="000000"/>
                <w:sz w:val="20"/>
                <w:szCs w:val="20"/>
                <w:shd w:val="clear" w:color="auto" w:fill="FFFFFF"/>
              </w:rPr>
              <w:t xml:space="preserve"> related to</w:t>
            </w:r>
            <w:r>
              <w:rPr>
                <w:rStyle w:val="normaltextrun"/>
                <w:rFonts w:cs="Calibri"/>
                <w:color w:val="000000"/>
                <w:sz w:val="20"/>
                <w:szCs w:val="20"/>
                <w:shd w:val="clear" w:color="auto" w:fill="FFFFFF"/>
              </w:rPr>
              <w:t xml:space="preserve"> this clarification.  This may require additional reporting with no safety benefit.</w:t>
            </w:r>
            <w:r>
              <w:rPr>
                <w:rStyle w:val="eop"/>
                <w:rFonts w:cs="Calibri"/>
                <w:color w:val="000000"/>
                <w:sz w:val="20"/>
                <w:szCs w:val="20"/>
                <w:shd w:val="clear" w:color="auto" w:fill="FFFFFF"/>
              </w:rPr>
              <w:t xml:space="preserve">  </w:t>
            </w:r>
            <w:r>
              <w:rPr>
                <w:rFonts w:eastAsia="Times New Roman" w:cs="Calibri"/>
                <w:sz w:val="20"/>
                <w:szCs w:val="20"/>
              </w:rPr>
              <w:t>This is an overly burdensome reporting requirement imposed on Canadian companies relative to our foreign competitors.</w:t>
            </w:r>
          </w:p>
        </w:tc>
      </w:tr>
      <w:tr w:rsidR="00FF2DB6" w:rsidRPr="007D2238" w14:paraId="6C11209C" w14:textId="77777777" w:rsidTr="005807FC">
        <w:trPr>
          <w:trHeight w:val="253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125D"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70B688" w14:textId="77777777" w:rsidR="00FF2DB6" w:rsidRPr="00640450" w:rsidRDefault="00FF2DB6" w:rsidP="00FF2DB6">
            <w:pPr>
              <w:spacing w:after="120" w:line="240" w:lineRule="auto"/>
              <w:rPr>
                <w:rFonts w:cs="Calibri"/>
                <w:sz w:val="20"/>
                <w:szCs w:val="20"/>
              </w:rPr>
            </w:pPr>
            <w:r w:rsidRPr="00640450">
              <w:rPr>
                <w:rFonts w:cs="Calibri"/>
                <w:sz w:val="20"/>
                <w:szCs w:val="20"/>
              </w:rPr>
              <w:t>7.6 Proposed amendment: clarify reporting requirements for improperly classified material.</w:t>
            </w:r>
          </w:p>
          <w:p w14:paraId="75177304" w14:textId="433627C5" w:rsidR="00FF2DB6" w:rsidRPr="00640450" w:rsidRDefault="00FF2DB6" w:rsidP="00FF2DB6">
            <w:pPr>
              <w:spacing w:after="120" w:line="240" w:lineRule="auto"/>
              <w:rPr>
                <w:rFonts w:cs="Calibri"/>
                <w:sz w:val="20"/>
                <w:szCs w:val="20"/>
              </w:rPr>
            </w:pP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F5D2A" w14:textId="505ABABE" w:rsidR="00FF2DB6" w:rsidRPr="00E676E5" w:rsidRDefault="00FF2DB6" w:rsidP="00FF2DB6">
            <w:pPr>
              <w:spacing w:after="120" w:line="240" w:lineRule="auto"/>
              <w:rPr>
                <w:rFonts w:cs="Calibri"/>
                <w:color w:val="000000" w:themeColor="text1"/>
                <w:sz w:val="20"/>
                <w:szCs w:val="20"/>
              </w:rPr>
            </w:pPr>
            <w:r w:rsidRPr="00E676E5">
              <w:rPr>
                <w:rFonts w:cs="Calibri"/>
                <w:color w:val="000000" w:themeColor="text1"/>
                <w:sz w:val="20"/>
                <w:szCs w:val="20"/>
              </w:rPr>
              <w:t xml:space="preserve">Class 7 shipments may be conservatively classified to a higher level (e.g., from an exempt shipment to a Class 7 excepted package), due to limited information, statistically based </w:t>
            </w:r>
            <w:proofErr w:type="gramStart"/>
            <w:r w:rsidRPr="00E676E5">
              <w:rPr>
                <w:rFonts w:cs="Calibri"/>
                <w:color w:val="000000" w:themeColor="text1"/>
                <w:sz w:val="20"/>
                <w:szCs w:val="20"/>
              </w:rPr>
              <w:t>sampling</w:t>
            </w:r>
            <w:proofErr w:type="gramEnd"/>
            <w:r w:rsidRPr="00E676E5">
              <w:rPr>
                <w:rFonts w:cs="Calibri"/>
                <w:color w:val="000000" w:themeColor="text1"/>
                <w:sz w:val="20"/>
                <w:szCs w:val="20"/>
              </w:rPr>
              <w:t xml:space="preserve"> or surveys results. Reportability of improperly classified material should only apply for items that are misclassified as being of lower risk (e.g., an excepted package with an external surface dose rate of &gt; 5 µ</w:t>
            </w:r>
            <w:proofErr w:type="spellStart"/>
            <w:r w:rsidRPr="00E676E5">
              <w:rPr>
                <w:rFonts w:cs="Calibri"/>
                <w:color w:val="000000" w:themeColor="text1"/>
                <w:sz w:val="20"/>
                <w:szCs w:val="20"/>
              </w:rPr>
              <w:t>Sv</w:t>
            </w:r>
            <w:proofErr w:type="spellEnd"/>
            <w:r w:rsidRPr="00E676E5">
              <w:rPr>
                <w:rFonts w:cs="Calibri"/>
                <w:color w:val="000000" w:themeColor="text1"/>
                <w:sz w:val="20"/>
                <w:szCs w:val="20"/>
              </w:rPr>
              <w:t xml:space="preserve">/h).  </w:t>
            </w:r>
          </w:p>
          <w:p w14:paraId="1FA45CC3" w14:textId="2C3A184F" w:rsidR="00FF2DB6" w:rsidRPr="00E676E5" w:rsidRDefault="00FF2DB6" w:rsidP="00FF2DB6">
            <w:pPr>
              <w:spacing w:after="120" w:line="240" w:lineRule="auto"/>
              <w:rPr>
                <w:rFonts w:cs="Calibri"/>
                <w:sz w:val="20"/>
                <w:szCs w:val="20"/>
              </w:rPr>
            </w:pPr>
            <w:r w:rsidRPr="00E676E5">
              <w:rPr>
                <w:rFonts w:cs="Calibri"/>
                <w:color w:val="000000" w:themeColor="text1"/>
                <w:sz w:val="20"/>
                <w:szCs w:val="20"/>
              </w:rPr>
              <w:t>Contaminated equipment and material shipped from Nuclear Class I facilities, are more difficult to characterize than distinct sources or radiation devices thus it requires an element of conservatism during the classification process.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29A0A" w14:textId="3EDD8941" w:rsidR="00FF2DB6" w:rsidRPr="00E676E5" w:rsidRDefault="00FF2DB6" w:rsidP="00FF2DB6">
            <w:pPr>
              <w:spacing w:after="120" w:line="240" w:lineRule="auto"/>
              <w:rPr>
                <w:rFonts w:cs="Calibri"/>
                <w:sz w:val="20"/>
                <w:szCs w:val="20"/>
              </w:rPr>
            </w:pPr>
            <w:r w:rsidRPr="00E676E5">
              <w:rPr>
                <w:rFonts w:cs="Calibri"/>
                <w:sz w:val="20"/>
                <w:szCs w:val="20"/>
              </w:rPr>
              <w:t>Suggested amendment to the PTNSR per s.7.6 Proposed amendment: clarify reporting requirements for improperly classified material.</w:t>
            </w:r>
          </w:p>
          <w:p w14:paraId="7F876580" w14:textId="4001BA77" w:rsidR="00FF2DB6" w:rsidRPr="00E676E5" w:rsidRDefault="00FF2DB6" w:rsidP="00FF2DB6">
            <w:pPr>
              <w:spacing w:after="120" w:line="240" w:lineRule="auto"/>
              <w:rPr>
                <w:rFonts w:cs="Calibri"/>
                <w:sz w:val="20"/>
                <w:szCs w:val="20"/>
              </w:rPr>
            </w:pPr>
            <w:r w:rsidRPr="00E676E5">
              <w:rPr>
                <w:rFonts w:cs="Calibri"/>
                <w:sz w:val="20"/>
                <w:szCs w:val="20"/>
              </w:rPr>
              <w:t>“</w:t>
            </w:r>
            <w:r w:rsidRPr="00E676E5">
              <w:rPr>
                <w:rFonts w:cs="Calibri"/>
                <w:i/>
                <w:iCs/>
                <w:sz w:val="20"/>
                <w:szCs w:val="20"/>
              </w:rPr>
              <w:t xml:space="preserve">The CNSC intends to amend the PTNSR 2015 to clarify that improperly classified material is automatically reportable, </w:t>
            </w:r>
            <w:r w:rsidRPr="00E676E5">
              <w:rPr>
                <w:rFonts w:cs="Calibri"/>
                <w:i/>
                <w:iCs/>
                <w:color w:val="FF0000"/>
                <w:sz w:val="20"/>
                <w:szCs w:val="20"/>
              </w:rPr>
              <w:t>if it is determined that material should be classified as a higher risk shipment.”</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DD657" w14:textId="2F2DCAB7" w:rsidR="00FF2DB6" w:rsidRPr="00640450" w:rsidRDefault="00FF2DB6" w:rsidP="00FF2DB6">
            <w:pPr>
              <w:spacing w:after="120" w:line="240" w:lineRule="auto"/>
              <w:ind w:left="-108"/>
              <w:jc w:val="center"/>
              <w:rPr>
                <w:rFonts w:cs="Calibri"/>
                <w:b/>
                <w:bCs/>
                <w:sz w:val="20"/>
                <w:szCs w:val="20"/>
              </w:rPr>
            </w:pPr>
            <w:r w:rsidRPr="00640450">
              <w:rPr>
                <w:rFonts w:cs="Calibri"/>
                <w:b/>
                <w:bCs/>
                <w:sz w:val="20"/>
                <w:szCs w:val="20"/>
              </w:rPr>
              <w:t>MAJOR</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A29EA" w14:textId="3741A87E" w:rsidR="00FF2DB6" w:rsidRPr="00640450" w:rsidRDefault="00FF2DB6" w:rsidP="00FF2DB6">
            <w:pPr>
              <w:spacing w:after="120" w:line="240" w:lineRule="auto"/>
              <w:rPr>
                <w:rFonts w:cs="Calibri"/>
                <w:sz w:val="20"/>
                <w:szCs w:val="20"/>
              </w:rPr>
            </w:pPr>
            <w:r w:rsidRPr="00640450">
              <w:rPr>
                <w:rFonts w:cs="Calibri"/>
                <w:sz w:val="20"/>
                <w:szCs w:val="20"/>
              </w:rPr>
              <w:t xml:space="preserve">Conservatively classified shipments may be deemed as reportable events resulting in unnecessary reporting as there is no impact to </w:t>
            </w:r>
            <w:r w:rsidRPr="00640450">
              <w:rPr>
                <w:rFonts w:eastAsia="Times New Roman" w:cs="Calibri"/>
                <w:sz w:val="20"/>
                <w:szCs w:val="20"/>
                <w:lang w:val="en-US"/>
              </w:rPr>
              <w:t>the environment, the health and safety of persons or national security</w:t>
            </w:r>
            <w:r w:rsidRPr="00640450">
              <w:rPr>
                <w:rFonts w:cs="Calibri"/>
                <w:sz w:val="20"/>
                <w:szCs w:val="20"/>
              </w:rPr>
              <w:t xml:space="preserve">. </w:t>
            </w:r>
          </w:p>
          <w:p w14:paraId="2D247E61" w14:textId="72948F37" w:rsidR="00FF2DB6" w:rsidRPr="00640450" w:rsidRDefault="00FF2DB6" w:rsidP="00FF2DB6">
            <w:pPr>
              <w:spacing w:after="120" w:line="240" w:lineRule="auto"/>
              <w:rPr>
                <w:rFonts w:cs="Calibri"/>
                <w:sz w:val="20"/>
                <w:szCs w:val="20"/>
              </w:rPr>
            </w:pPr>
          </w:p>
        </w:tc>
      </w:tr>
      <w:tr w:rsidR="00FF2DB6" w:rsidRPr="007D2238" w14:paraId="0CAAEE2C" w14:textId="77777777" w:rsidTr="005807FC">
        <w:trPr>
          <w:trHeight w:val="151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FB0B"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CD0A447" w14:textId="39BCD433" w:rsidR="00FF2DB6" w:rsidRPr="00640450" w:rsidRDefault="00FF2DB6" w:rsidP="00FF2DB6">
            <w:pPr>
              <w:spacing w:after="120" w:line="240" w:lineRule="auto"/>
              <w:rPr>
                <w:rFonts w:cs="Calibri"/>
                <w:sz w:val="20"/>
                <w:szCs w:val="20"/>
              </w:rPr>
            </w:pPr>
            <w:r w:rsidRPr="00640450">
              <w:rPr>
                <w:rFonts w:cs="Calibri"/>
                <w:sz w:val="20"/>
                <w:szCs w:val="20"/>
              </w:rPr>
              <w:t>7.6 Proposed amendment: clarify reporting requirements for improperly classified material.</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B44C" w14:textId="77777777" w:rsidR="00FF2DB6" w:rsidRPr="00E676E5" w:rsidRDefault="00FF2DB6" w:rsidP="00FF2DB6">
            <w:pPr>
              <w:spacing w:after="120" w:line="240" w:lineRule="auto"/>
              <w:rPr>
                <w:rFonts w:eastAsia="Times New Roman" w:cs="Calibri"/>
                <w:sz w:val="20"/>
                <w:szCs w:val="20"/>
                <w:lang w:val="en-US"/>
              </w:rPr>
            </w:pPr>
            <w:r w:rsidRPr="00E676E5">
              <w:rPr>
                <w:rFonts w:eastAsia="Times New Roman" w:cs="Calibri"/>
                <w:sz w:val="20"/>
                <w:szCs w:val="20"/>
                <w:lang w:val="en-US"/>
              </w:rPr>
              <w:t xml:space="preserve">The CNSC intends to amend the PTNSR 2015 to clarify that improperly classified material is automatically reportable. </w:t>
            </w:r>
          </w:p>
          <w:p w14:paraId="232FBA36" w14:textId="77777777" w:rsidR="00FF2DB6" w:rsidRPr="00E676E5" w:rsidRDefault="00FF2DB6" w:rsidP="00FF2DB6">
            <w:pPr>
              <w:pStyle w:val="ListParagraph"/>
              <w:numPr>
                <w:ilvl w:val="0"/>
                <w:numId w:val="37"/>
              </w:numPr>
              <w:spacing w:after="120" w:line="240" w:lineRule="auto"/>
              <w:ind w:left="504"/>
              <w:rPr>
                <w:rFonts w:eastAsia="Times New Roman" w:cs="Calibri"/>
                <w:sz w:val="20"/>
                <w:szCs w:val="20"/>
                <w:lang w:val="en-US"/>
              </w:rPr>
            </w:pPr>
            <w:r w:rsidRPr="00E676E5">
              <w:rPr>
                <w:rFonts w:eastAsia="Times New Roman" w:cs="Calibri"/>
                <w:sz w:val="20"/>
                <w:szCs w:val="20"/>
                <w:lang w:val="en-US"/>
              </w:rPr>
              <w:t xml:space="preserve">What context will this be? </w:t>
            </w:r>
          </w:p>
          <w:p w14:paraId="2FD5167B" w14:textId="77777777" w:rsidR="00FF2DB6" w:rsidRPr="00E676E5" w:rsidRDefault="00FF2DB6" w:rsidP="00FF2DB6">
            <w:pPr>
              <w:pStyle w:val="ListParagraph"/>
              <w:numPr>
                <w:ilvl w:val="0"/>
                <w:numId w:val="37"/>
              </w:numPr>
              <w:spacing w:after="120" w:line="240" w:lineRule="auto"/>
              <w:ind w:left="504"/>
              <w:rPr>
                <w:rFonts w:eastAsia="Times New Roman" w:cs="Calibri"/>
                <w:sz w:val="20"/>
                <w:szCs w:val="20"/>
                <w:lang w:val="en-US"/>
              </w:rPr>
            </w:pPr>
            <w:r w:rsidRPr="00E676E5">
              <w:rPr>
                <w:rFonts w:eastAsia="Times New Roman" w:cs="Calibri"/>
                <w:sz w:val="20"/>
                <w:szCs w:val="20"/>
                <w:lang w:val="en-US"/>
              </w:rPr>
              <w:t xml:space="preserve">Will this be automatic for administrative errors? </w:t>
            </w:r>
          </w:p>
          <w:p w14:paraId="2B3B1215" w14:textId="79078062" w:rsidR="00FF2DB6" w:rsidRPr="00E676E5" w:rsidRDefault="00FF2DB6" w:rsidP="00FF2DB6">
            <w:pPr>
              <w:spacing w:after="120" w:line="240" w:lineRule="auto"/>
              <w:rPr>
                <w:rFonts w:cs="Calibri"/>
                <w:color w:val="000000" w:themeColor="text1"/>
                <w:sz w:val="20"/>
                <w:szCs w:val="20"/>
              </w:rPr>
            </w:pPr>
            <w:r w:rsidRPr="00E676E5">
              <w:rPr>
                <w:rFonts w:eastAsia="Times New Roman" w:cs="Calibri"/>
                <w:sz w:val="20"/>
                <w:szCs w:val="20"/>
                <w:lang w:val="en-US"/>
              </w:rPr>
              <w:t>It is unclear what the implications will be.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184C0" w14:textId="428B7B71" w:rsidR="00FF2DB6" w:rsidRPr="00E676E5" w:rsidRDefault="00FF2DB6" w:rsidP="00FF2DB6">
            <w:pPr>
              <w:spacing w:after="120" w:line="240" w:lineRule="auto"/>
              <w:rPr>
                <w:rFonts w:cs="Calibri"/>
                <w:sz w:val="20"/>
                <w:szCs w:val="20"/>
              </w:rPr>
            </w:pPr>
            <w:r w:rsidRPr="00E676E5">
              <w:rPr>
                <w:rFonts w:eastAsia="Times New Roman" w:cs="Calibri"/>
                <w:sz w:val="20"/>
                <w:szCs w:val="20"/>
                <w:lang w:val="en-US"/>
              </w:rPr>
              <w:t>Suggest clarity be added to confirm reportability is only required when misclassification results or may reasonably result in a situation to which the environment, the health and safety of persons or national security is adversely affected.</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E7A6A" w14:textId="7EBE595C" w:rsidR="00FF2DB6" w:rsidRPr="00640450" w:rsidRDefault="00FF2DB6" w:rsidP="00FF2DB6">
            <w:pPr>
              <w:spacing w:after="120" w:line="240" w:lineRule="auto"/>
              <w:ind w:left="-108"/>
              <w:jc w:val="center"/>
              <w:rPr>
                <w:rFonts w:cs="Calibri"/>
                <w:b/>
                <w:bCs/>
                <w:sz w:val="20"/>
                <w:szCs w:val="20"/>
              </w:rPr>
            </w:pPr>
            <w:r w:rsidRPr="00640450">
              <w:rPr>
                <w:rFonts w:cs="Calibri"/>
                <w:b/>
                <w:bCs/>
                <w:sz w:val="20"/>
                <w:szCs w:val="20"/>
              </w:rPr>
              <w:t>MAJOR</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B04FC" w14:textId="16C1EA1D" w:rsidR="00FF2DB6" w:rsidRPr="00640450" w:rsidRDefault="00FF2DB6" w:rsidP="00FF2DB6">
            <w:pPr>
              <w:spacing w:after="120" w:line="240" w:lineRule="auto"/>
              <w:rPr>
                <w:rFonts w:cs="Calibri"/>
                <w:sz w:val="20"/>
                <w:szCs w:val="20"/>
              </w:rPr>
            </w:pPr>
            <w:r w:rsidRPr="00640450">
              <w:rPr>
                <w:rFonts w:cs="Calibri"/>
                <w:sz w:val="20"/>
                <w:szCs w:val="20"/>
              </w:rPr>
              <w:t>Without further clarification, this could add a huge administrative burden in reporting from Industry as the CNSC in reviewing and dispositioning these reports. It may also risk obscuring an actual safety significant scenario.</w:t>
            </w:r>
          </w:p>
        </w:tc>
      </w:tr>
      <w:tr w:rsidR="00FF2DB6" w:rsidRPr="007D2238" w14:paraId="4B7FA171" w14:textId="77777777" w:rsidTr="005807FC">
        <w:trPr>
          <w:trHeight w:val="253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FB014"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9742ED" w14:textId="29A3AF0C" w:rsidR="00FF2DB6" w:rsidRPr="00640450" w:rsidRDefault="00FF2DB6" w:rsidP="00FF2DB6">
            <w:pPr>
              <w:spacing w:after="120" w:line="240" w:lineRule="auto"/>
              <w:rPr>
                <w:rFonts w:cs="Calibri"/>
                <w:sz w:val="20"/>
                <w:szCs w:val="20"/>
              </w:rPr>
            </w:pPr>
            <w:r w:rsidRPr="00640450">
              <w:rPr>
                <w:rFonts w:cs="Calibri"/>
                <w:sz w:val="20"/>
                <w:szCs w:val="20"/>
              </w:rPr>
              <w:t>7.6 Proposed amendment: clarify reporting requirements for improperly classified material</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F1D54" w14:textId="07D1AA99"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Would an improperly classified package trigger reporting if the packaging and safety requirements for the correct classification were employed for the shipment?</w:t>
            </w:r>
          </w:p>
          <w:p w14:paraId="49EF4F65" w14:textId="13AE3D98" w:rsidR="00FF2DB6" w:rsidRPr="00E676E5" w:rsidRDefault="00FF2DB6" w:rsidP="00FF2DB6">
            <w:pPr>
              <w:spacing w:after="120" w:line="240" w:lineRule="auto"/>
              <w:ind w:left="144"/>
              <w:rPr>
                <w:rFonts w:eastAsia="Times New Roman" w:cs="Calibri"/>
                <w:sz w:val="20"/>
                <w:szCs w:val="20"/>
                <w:lang w:val="en-US"/>
              </w:rPr>
            </w:pPr>
            <w:r w:rsidRPr="00E676E5">
              <w:rPr>
                <w:rFonts w:cs="Calibri"/>
                <w:color w:val="000000"/>
                <w:sz w:val="20"/>
                <w:szCs w:val="20"/>
              </w:rPr>
              <w:t xml:space="preserve">For example: If a package of solids was classified as LSA-I in an IP-2 container, but it is later realized to require the LSA-II classification. Would this warrant reporting?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5B299" w14:textId="1E7DA62B" w:rsidR="00FF2DB6" w:rsidRPr="00E676E5" w:rsidRDefault="00FF2DB6" w:rsidP="00FF2DB6">
            <w:pPr>
              <w:spacing w:after="120" w:line="240" w:lineRule="auto"/>
              <w:rPr>
                <w:rFonts w:eastAsia="Times New Roman" w:cs="Calibri"/>
                <w:sz w:val="20"/>
                <w:szCs w:val="20"/>
                <w:lang w:val="en-US"/>
              </w:rPr>
            </w:pPr>
            <w:r w:rsidRPr="00E676E5">
              <w:rPr>
                <w:rFonts w:cs="Calibri"/>
                <w:color w:val="000000"/>
                <w:sz w:val="20"/>
                <w:szCs w:val="20"/>
              </w:rPr>
              <w:t xml:space="preserve">Allow licensees to evaluate misclassifications based on safety significance. If packaging requirements are still met and important safety markings are still present, consider not requiring reporting.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A0C7" w14:textId="555C9111" w:rsidR="00FF2DB6" w:rsidRPr="00640450" w:rsidRDefault="00FF2DB6" w:rsidP="00FF2DB6">
            <w:pPr>
              <w:spacing w:after="120" w:line="240" w:lineRule="auto"/>
              <w:ind w:left="-108"/>
              <w:jc w:val="center"/>
              <w:rPr>
                <w:rFonts w:cs="Calibri"/>
                <w:b/>
                <w:bCs/>
                <w:sz w:val="20"/>
                <w:szCs w:val="20"/>
              </w:rPr>
            </w:pPr>
            <w:r w:rsidRPr="00640450">
              <w:rPr>
                <w:rFonts w:cs="Calibri"/>
                <w:b/>
                <w:bCs/>
                <w:sz w:val="20"/>
                <w:szCs w:val="20"/>
              </w:rPr>
              <w:t>MAJOR</w:t>
            </w:r>
          </w:p>
        </w:tc>
        <w:tc>
          <w:tcPr>
            <w:tcW w:w="5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BC40" w14:textId="5B362406" w:rsidR="00FF2DB6" w:rsidRPr="00640450" w:rsidRDefault="00FF2DB6" w:rsidP="00FF2DB6">
            <w:pPr>
              <w:spacing w:after="120" w:line="240" w:lineRule="auto"/>
              <w:rPr>
                <w:rFonts w:cs="Calibri"/>
                <w:sz w:val="20"/>
                <w:szCs w:val="20"/>
              </w:rPr>
            </w:pPr>
            <w:r w:rsidRPr="00640450">
              <w:rPr>
                <w:rFonts w:cs="Calibri"/>
                <w:sz w:val="20"/>
                <w:szCs w:val="20"/>
              </w:rPr>
              <w:t>As written, minor improper classifications, with no safety significance, will warrant reporting.</w:t>
            </w:r>
          </w:p>
        </w:tc>
      </w:tr>
      <w:tr w:rsidR="00FF2DB6" w:rsidRPr="007D2238" w14:paraId="2763B397" w14:textId="77777777" w:rsidTr="005807FC">
        <w:trPr>
          <w:trHeight w:val="25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948AB" w14:textId="77777777" w:rsidR="00FF2DB6" w:rsidRPr="00E069AB" w:rsidRDefault="00FF2DB6" w:rsidP="00FF2DB6">
            <w:pPr>
              <w:pStyle w:val="ListParagraph"/>
              <w:numPr>
                <w:ilvl w:val="0"/>
                <w:numId w:val="41"/>
              </w:numPr>
              <w:spacing w:after="120" w:line="240" w:lineRule="auto"/>
              <w:ind w:left="504"/>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E787E35" w14:textId="38D16EA6" w:rsidR="00FF2DB6" w:rsidRPr="00640450" w:rsidRDefault="00FF2DB6" w:rsidP="00FF2DB6">
            <w:pPr>
              <w:spacing w:after="120" w:line="240" w:lineRule="auto"/>
              <w:rPr>
                <w:rFonts w:cs="Calibri"/>
                <w:strike/>
                <w:sz w:val="20"/>
                <w:szCs w:val="20"/>
              </w:rPr>
            </w:pPr>
            <w:r w:rsidRPr="00640450">
              <w:rPr>
                <w:rFonts w:cs="Calibri"/>
                <w:sz w:val="20"/>
                <w:szCs w:val="20"/>
              </w:rPr>
              <w:t>7.6, Proposed amendment: clarify reporting requirements for improperly classified material</w:t>
            </w: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0B771" w14:textId="77777777" w:rsidR="00FF2DB6" w:rsidRPr="00E676E5" w:rsidRDefault="00FF2DB6" w:rsidP="00FF2DB6">
            <w:pPr>
              <w:spacing w:after="120" w:line="240" w:lineRule="auto"/>
              <w:rPr>
                <w:rFonts w:eastAsia="Times New Roman" w:cs="Calibri"/>
                <w:sz w:val="20"/>
                <w:szCs w:val="20"/>
              </w:rPr>
            </w:pPr>
            <w:r w:rsidRPr="00E676E5">
              <w:rPr>
                <w:rFonts w:eastAsia="Times New Roman" w:cs="Calibri"/>
                <w:sz w:val="20"/>
                <w:szCs w:val="20"/>
              </w:rPr>
              <w:t xml:space="preserve">There are opportunities to reduce the administrative burden without compromising safety. One example we encounter is overly burdensome reporting requirements. </w:t>
            </w:r>
          </w:p>
          <w:p w14:paraId="2F8E80E9" w14:textId="41A87AAC" w:rsidR="00FF2DB6" w:rsidRPr="00E676E5" w:rsidRDefault="00FF2DB6" w:rsidP="00FF2DB6">
            <w:pPr>
              <w:spacing w:after="120" w:line="240" w:lineRule="auto"/>
              <w:rPr>
                <w:rFonts w:eastAsia="Times New Roman" w:cs="Calibri"/>
                <w:strike/>
                <w:sz w:val="20"/>
                <w:szCs w:val="20"/>
                <w:lang w:val="en-US"/>
              </w:rPr>
            </w:pPr>
            <w:r w:rsidRPr="00E676E5">
              <w:rPr>
                <w:rFonts w:eastAsia="Times New Roman" w:cs="Calibri"/>
                <w:sz w:val="20"/>
                <w:szCs w:val="20"/>
              </w:rPr>
              <w:t xml:space="preserve">Section 35 of the PTNSR, Dangerous Occurrence reporting should be streamlined to better align with the IAEA SSR-6 Regulations and Transport Canada, Transportation of Dangerous Goods Regulations, reporting requirements.  Specifically, s.35(a) and s.35(g) should be deleted out of the PTNSR.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A8B3F" w14:textId="4E268C8A" w:rsidR="00FF2DB6" w:rsidRPr="00E676E5" w:rsidRDefault="00FF2DB6" w:rsidP="00FF2DB6">
            <w:pPr>
              <w:spacing w:after="120" w:line="240" w:lineRule="auto"/>
              <w:rPr>
                <w:rStyle w:val="sectionlabel"/>
                <w:rFonts w:cs="Calibri"/>
                <w:color w:val="000000"/>
                <w:sz w:val="20"/>
                <w:szCs w:val="20"/>
              </w:rPr>
            </w:pPr>
            <w:r w:rsidRPr="00E676E5">
              <w:rPr>
                <w:rStyle w:val="sectionlabel"/>
                <w:rFonts w:cs="Calibri"/>
                <w:color w:val="000000"/>
                <w:sz w:val="20"/>
                <w:szCs w:val="20"/>
              </w:rPr>
              <w:t>Recommend deleting s.35(a) and s.35(g).</w:t>
            </w:r>
          </w:p>
          <w:p w14:paraId="08F43354" w14:textId="37EA7AFA" w:rsidR="00FF2DB6" w:rsidRPr="00E676E5" w:rsidRDefault="00FF2DB6" w:rsidP="00FF2DB6">
            <w:pPr>
              <w:spacing w:after="120" w:line="240" w:lineRule="auto"/>
              <w:rPr>
                <w:rFonts w:eastAsia="Times New Roman" w:cs="Calibri"/>
                <w:strike/>
                <w:sz w:val="20"/>
                <w:szCs w:val="20"/>
                <w:lang w:val="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61D856" w14:textId="51C405AD" w:rsidR="00FF2DB6" w:rsidRPr="00640450" w:rsidRDefault="00FF2DB6" w:rsidP="00FF2DB6">
            <w:pPr>
              <w:spacing w:after="120" w:line="240" w:lineRule="auto"/>
              <w:ind w:left="-108"/>
              <w:jc w:val="center"/>
              <w:rPr>
                <w:rFonts w:cs="Calibri"/>
                <w:b/>
                <w:bCs/>
                <w:strike/>
                <w:sz w:val="20"/>
                <w:szCs w:val="20"/>
              </w:rPr>
            </w:pPr>
            <w:r w:rsidRPr="00640450">
              <w:rPr>
                <w:rFonts w:eastAsia="Times New Roman" w:cs="Calibri"/>
                <w:b/>
                <w:bCs/>
                <w:sz w:val="20"/>
                <w:szCs w:val="20"/>
              </w:rPr>
              <w:t>MAJOR</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52546" w14:textId="681AA240" w:rsidR="00FF2DB6" w:rsidRPr="00E676E5" w:rsidRDefault="00FF2DB6" w:rsidP="00FF2DB6">
            <w:pPr>
              <w:spacing w:after="120" w:line="240" w:lineRule="auto"/>
              <w:rPr>
                <w:rFonts w:cs="Calibri"/>
                <w:strike/>
                <w:color w:val="000000" w:themeColor="text1"/>
                <w:sz w:val="20"/>
                <w:szCs w:val="20"/>
              </w:rPr>
            </w:pPr>
            <w:r w:rsidRPr="00E676E5">
              <w:rPr>
                <w:rFonts w:eastAsia="Times New Roman" w:cs="Calibri"/>
                <w:sz w:val="20"/>
                <w:szCs w:val="20"/>
              </w:rPr>
              <w:t>Dangerous Occurrence reporting should be focused on events where the dose rate and contamination limits are not met, and not require the reporting of fender benders that have no impact on the safety of the package.  This is an overly burdensome reporting requirement imposed on Canadian companies relative to our foreign competitors.</w:t>
            </w:r>
          </w:p>
        </w:tc>
      </w:tr>
      <w:tr w:rsidR="00FF2DB6" w:rsidRPr="007D2238" w14:paraId="2DFBCBBE" w14:textId="77777777" w:rsidTr="005807FC">
        <w:trPr>
          <w:trHeight w:val="253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F6E11"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61112D" w14:textId="4258A6C0" w:rsidR="00FF2DB6" w:rsidRPr="00640450" w:rsidRDefault="00FF2DB6" w:rsidP="00FF2DB6">
            <w:pPr>
              <w:spacing w:after="120" w:line="240" w:lineRule="auto"/>
              <w:rPr>
                <w:rFonts w:cs="Calibri"/>
                <w:sz w:val="20"/>
                <w:szCs w:val="20"/>
              </w:rPr>
            </w:pPr>
            <w:r w:rsidRPr="00640450">
              <w:rPr>
                <w:rFonts w:cs="Calibri"/>
                <w:sz w:val="20"/>
                <w:szCs w:val="20"/>
              </w:rPr>
              <w:t>7.6, Proposed amendment: clarify reporting requirements for improperly classified material</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DB" w14:textId="54DD2E54"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The PTNSR currently requires immediate reporting for events deemed reportable against s.35 Dangerous Occurrence. In some cases, it is not readily apparent the event/non-compliance warrants reporting thus some time is required to investigate and further interpret the regulations. Once determined reportable, the situation may already be in a safe, non-emergent state. </w:t>
            </w:r>
          </w:p>
          <w:p w14:paraId="59DCC6FC" w14:textId="5FA8D1CC" w:rsidR="00FF2DB6" w:rsidRPr="00E676E5" w:rsidRDefault="00FF2DB6" w:rsidP="00FF2DB6">
            <w:pPr>
              <w:spacing w:after="120" w:line="240" w:lineRule="auto"/>
              <w:ind w:left="144"/>
              <w:rPr>
                <w:rFonts w:cs="Calibri"/>
                <w:color w:val="000000"/>
                <w:sz w:val="20"/>
                <w:szCs w:val="20"/>
              </w:rPr>
            </w:pPr>
            <w:r w:rsidRPr="00E676E5">
              <w:rPr>
                <w:rFonts w:cs="Calibri"/>
                <w:color w:val="000000"/>
                <w:sz w:val="20"/>
                <w:szCs w:val="20"/>
              </w:rPr>
              <w:t xml:space="preserve">For example: An incorrect preparation of a package where no signs of leakage </w:t>
            </w:r>
            <w:proofErr w:type="gramStart"/>
            <w:r w:rsidRPr="00E676E5">
              <w:rPr>
                <w:rFonts w:cs="Calibri"/>
                <w:color w:val="000000"/>
                <w:sz w:val="20"/>
                <w:szCs w:val="20"/>
              </w:rPr>
              <w:t>was</w:t>
            </w:r>
            <w:proofErr w:type="gramEnd"/>
            <w:r w:rsidRPr="00E676E5">
              <w:rPr>
                <w:rFonts w:cs="Calibri"/>
                <w:color w:val="000000"/>
                <w:sz w:val="20"/>
                <w:szCs w:val="20"/>
              </w:rPr>
              <w:t xml:space="preserve"> identified but the </w:t>
            </w:r>
            <w:r w:rsidRPr="00E676E5">
              <w:rPr>
                <w:rFonts w:cs="Calibri"/>
                <w:color w:val="000000"/>
                <w:sz w:val="20"/>
                <w:szCs w:val="20"/>
              </w:rPr>
              <w:lastRenderedPageBreak/>
              <w:t>shipment may still be non-compliant with the package’s certification.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2EAE2" w14:textId="444732F2"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lastRenderedPageBreak/>
              <w:t>Prescribe when immediate reporting is required for reportable transportation events, with considerations to timelines and severity of non-compliances. Alternatively, allow for licensees to determine if an immediate report is warranted.</w:t>
            </w:r>
          </w:p>
          <w:p w14:paraId="25C76891" w14:textId="77777777" w:rsidR="00FF2DB6" w:rsidRPr="00E676E5" w:rsidRDefault="00FF2DB6" w:rsidP="00FF2DB6">
            <w:pPr>
              <w:spacing w:after="120" w:line="240" w:lineRule="auto"/>
              <w:ind w:left="144"/>
              <w:rPr>
                <w:rFonts w:cs="Calibri"/>
                <w:color w:val="000000"/>
                <w:sz w:val="20"/>
                <w:szCs w:val="20"/>
              </w:rPr>
            </w:pPr>
            <w:r w:rsidRPr="00E676E5">
              <w:rPr>
                <w:rFonts w:cs="Calibri"/>
                <w:color w:val="000000"/>
                <w:sz w:val="20"/>
                <w:szCs w:val="20"/>
              </w:rPr>
              <w:t>Example when warranted: shipment has been involved in an accident.</w:t>
            </w:r>
          </w:p>
          <w:p w14:paraId="05CA9102" w14:textId="0D43FC34" w:rsidR="00FF2DB6" w:rsidRPr="00E676E5" w:rsidRDefault="00FF2DB6" w:rsidP="00FF2DB6">
            <w:pPr>
              <w:spacing w:after="120" w:line="240" w:lineRule="auto"/>
              <w:ind w:left="144"/>
              <w:rPr>
                <w:rFonts w:cs="Calibri"/>
                <w:color w:val="000000"/>
                <w:sz w:val="20"/>
                <w:szCs w:val="20"/>
              </w:rPr>
            </w:pPr>
            <w:r w:rsidRPr="00E676E5">
              <w:rPr>
                <w:rFonts w:cs="Calibri"/>
                <w:color w:val="000000"/>
                <w:sz w:val="20"/>
                <w:szCs w:val="20"/>
              </w:rPr>
              <w:t xml:space="preserve">Example when not warranted: shipment arrived safely to consignee location and </w:t>
            </w:r>
            <w:r w:rsidRPr="00E676E5">
              <w:rPr>
                <w:rFonts w:cs="Calibri"/>
                <w:color w:val="000000"/>
                <w:sz w:val="20"/>
                <w:szCs w:val="20"/>
              </w:rPr>
              <w:lastRenderedPageBreak/>
              <w:t xml:space="preserve">issues with package preparation was observed during unloading.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9BCF0" w14:textId="042F16A9" w:rsidR="00FF2DB6" w:rsidRPr="00640450" w:rsidRDefault="00FF2DB6" w:rsidP="00FF2DB6">
            <w:pPr>
              <w:spacing w:after="120" w:line="240" w:lineRule="auto"/>
              <w:ind w:left="-108"/>
              <w:jc w:val="center"/>
              <w:rPr>
                <w:rFonts w:cs="Calibri"/>
                <w:b/>
                <w:bCs/>
                <w:sz w:val="20"/>
                <w:szCs w:val="20"/>
              </w:rPr>
            </w:pPr>
            <w:r w:rsidRPr="00640450">
              <w:rPr>
                <w:rFonts w:cs="Calibri"/>
                <w:b/>
                <w:bCs/>
                <w:sz w:val="20"/>
                <w:szCs w:val="20"/>
              </w:rPr>
              <w:lastRenderedPageBreak/>
              <w:t>MAJOR</w:t>
            </w:r>
          </w:p>
        </w:tc>
        <w:tc>
          <w:tcPr>
            <w:tcW w:w="5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21A68" w14:textId="7A7A4401"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For cases of non-safety significant transportation events warranting reporting, making an immediate report increases the regulatory burden without certainty on intent. Specifically, these lower-safety related events do not require intervention or aid from the CNSC.  </w:t>
            </w:r>
          </w:p>
        </w:tc>
      </w:tr>
      <w:tr w:rsidR="00FF2DB6" w:rsidRPr="007D2238" w14:paraId="577E1EC9" w14:textId="77777777" w:rsidTr="005807FC">
        <w:trPr>
          <w:trHeight w:val="253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B819"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5E45F3" w14:textId="1D8C4CDD" w:rsidR="00FF2DB6" w:rsidRPr="00640450" w:rsidRDefault="00FF2DB6" w:rsidP="00FF2DB6">
            <w:pPr>
              <w:spacing w:after="120" w:line="240" w:lineRule="auto"/>
              <w:rPr>
                <w:rFonts w:cs="Calibri"/>
                <w:sz w:val="20"/>
                <w:szCs w:val="20"/>
              </w:rPr>
            </w:pPr>
            <w:r w:rsidRPr="00640450">
              <w:rPr>
                <w:rFonts w:cs="Calibri"/>
                <w:sz w:val="20"/>
                <w:szCs w:val="20"/>
              </w:rPr>
              <w:t>8.1 Adding requirement that conveyances where no person is physically present be licensed.</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B2BD" w14:textId="18498F87" w:rsidR="00FF2DB6" w:rsidRPr="00640450" w:rsidRDefault="00FF2DB6" w:rsidP="00FF2DB6">
            <w:pPr>
              <w:spacing w:after="120" w:line="240" w:lineRule="auto"/>
              <w:rPr>
                <w:rFonts w:cs="Calibri"/>
                <w:sz w:val="20"/>
                <w:szCs w:val="20"/>
              </w:rPr>
            </w:pPr>
            <w:r w:rsidRPr="00E676E5">
              <w:rPr>
                <w:rFonts w:eastAsia="Times New Roman" w:cs="Calibri"/>
                <w:sz w:val="20"/>
                <w:szCs w:val="20"/>
                <w:lang w:val="en-US"/>
              </w:rPr>
              <w:t xml:space="preserve">The proposed requirement is broad in scope and would require the </w:t>
            </w:r>
            <w:r w:rsidRPr="00640450">
              <w:rPr>
                <w:rFonts w:eastAsia="Times New Roman" w:cs="Calibri"/>
                <w:sz w:val="20"/>
                <w:szCs w:val="20"/>
                <w:lang w:val="en-US"/>
              </w:rPr>
              <w:t>consignor be given this information in advance. The licensing requirements will increase as this technology (e.g., driverless technology) becomes more prevalent.</w:t>
            </w:r>
            <w:r w:rsidRPr="00640450">
              <w:rPr>
                <w:rFonts w:cs="Calibri"/>
                <w:sz w:val="20"/>
                <w:szCs w:val="20"/>
              </w:rPr>
              <w:t xml:space="preserve"> </w:t>
            </w:r>
          </w:p>
          <w:p w14:paraId="2AAE45D5" w14:textId="6C99F35A" w:rsidR="00FF2DB6" w:rsidRPr="00E676E5" w:rsidRDefault="00FF2DB6" w:rsidP="00FF2DB6">
            <w:pPr>
              <w:spacing w:after="120" w:line="240" w:lineRule="auto"/>
              <w:rPr>
                <w:rFonts w:eastAsia="Times New Roman" w:cs="Calibri"/>
                <w:sz w:val="20"/>
                <w:szCs w:val="20"/>
                <w:lang w:val="en-US"/>
              </w:rPr>
            </w:pPr>
            <w:r w:rsidRPr="00640450">
              <w:rPr>
                <w:rFonts w:cs="Calibri"/>
                <w:sz w:val="20"/>
                <w:szCs w:val="20"/>
              </w:rPr>
              <w:t>There are existing licensing requirements for Class 7 that address the risk of a shipment such as fissile material or radiological hazard. Industry sees the CNSC needing awareness for these types of shipments but there seems to be already sufficient safety controls within PTNSR. Recognizing too that Transport Canada will also have requirements for remote or driverless transport.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CBF3" w14:textId="67CE5AAC" w:rsidR="00FF2DB6" w:rsidRPr="00E676E5" w:rsidRDefault="00FF2DB6" w:rsidP="00FF2DB6">
            <w:pPr>
              <w:spacing w:after="120" w:line="240" w:lineRule="auto"/>
              <w:rPr>
                <w:rFonts w:eastAsia="Times New Roman" w:cs="Calibri"/>
                <w:sz w:val="20"/>
                <w:szCs w:val="20"/>
                <w:lang w:val="en-US"/>
              </w:rPr>
            </w:pPr>
            <w:r w:rsidRPr="00E676E5">
              <w:rPr>
                <w:rFonts w:eastAsia="Times New Roman" w:cs="Calibri"/>
                <w:sz w:val="20"/>
                <w:szCs w:val="20"/>
                <w:lang w:val="en-US"/>
              </w:rPr>
              <w:t>Further to the current PTNSR approach to transport, it is suggested to clarify that a consignor intending to engage in the transport of nuclear substances via conveyances where no person is physically present, and where it is above excepted values then a notification issued to the CNSC similar to the “</w:t>
            </w:r>
            <w:r w:rsidRPr="00E676E5">
              <w:rPr>
                <w:rFonts w:eastAsia="Times New Roman" w:cs="Calibri"/>
                <w:i/>
                <w:iCs/>
                <w:sz w:val="20"/>
                <w:szCs w:val="20"/>
                <w:lang w:val="en-US"/>
              </w:rPr>
              <w:t>Notification of competent authorities”</w:t>
            </w:r>
            <w:r w:rsidRPr="00E676E5">
              <w:rPr>
                <w:rFonts w:eastAsia="Times New Roman" w:cs="Calibri"/>
                <w:sz w:val="20"/>
                <w:szCs w:val="20"/>
                <w:lang w:val="en-US"/>
              </w:rPr>
              <w:t xml:space="preserve"> paragraphs 557-560 in IAEA SSR-6 Regulations for the Safe Transport of Radioactive Material will be acceptable.</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3313D" w14:textId="77777777" w:rsidR="00FF2DB6" w:rsidRPr="00640450" w:rsidRDefault="00FF2DB6" w:rsidP="00FF2DB6">
            <w:pPr>
              <w:spacing w:after="120" w:line="240" w:lineRule="auto"/>
              <w:ind w:left="-108"/>
              <w:jc w:val="center"/>
              <w:rPr>
                <w:rFonts w:cs="Calibri"/>
                <w:strike/>
                <w:sz w:val="20"/>
                <w:szCs w:val="20"/>
              </w:rPr>
            </w:pPr>
            <w:r w:rsidRPr="00640450">
              <w:rPr>
                <w:rFonts w:cs="Calibri"/>
                <w:strike/>
                <w:sz w:val="20"/>
                <w:szCs w:val="20"/>
              </w:rPr>
              <w:t>MAJOR</w:t>
            </w:r>
          </w:p>
          <w:p w14:paraId="44D225BC" w14:textId="6AB7FBC9"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E6BE5" w14:textId="59D58A5E" w:rsidR="00FF2DB6" w:rsidRPr="00E676E5" w:rsidRDefault="00FF2DB6" w:rsidP="00FF2DB6">
            <w:pPr>
              <w:spacing w:after="120" w:line="240" w:lineRule="auto"/>
              <w:rPr>
                <w:rFonts w:cs="Calibri"/>
                <w:color w:val="000000" w:themeColor="text1"/>
                <w:sz w:val="20"/>
                <w:szCs w:val="20"/>
              </w:rPr>
            </w:pPr>
          </w:p>
        </w:tc>
      </w:tr>
      <w:tr w:rsidR="00FF2DB6" w:rsidRPr="007D2238" w14:paraId="2F2E8448"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432B"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EE915F" w14:textId="0D2AFE42" w:rsidR="00FF2DB6" w:rsidRPr="00640450" w:rsidRDefault="00FF2DB6" w:rsidP="00FF2DB6">
            <w:pPr>
              <w:spacing w:after="120" w:line="240" w:lineRule="auto"/>
              <w:rPr>
                <w:rFonts w:cs="Calibri"/>
                <w:sz w:val="20"/>
                <w:szCs w:val="20"/>
              </w:rPr>
            </w:pPr>
            <w:r w:rsidRPr="00640450">
              <w:rPr>
                <w:rFonts w:cs="Calibri"/>
                <w:sz w:val="20"/>
                <w:szCs w:val="20"/>
              </w:rPr>
              <w:t>10.1 New and amending existing definitions:</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2255" w14:textId="4E6A0655"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The definition of </w:t>
            </w:r>
            <w:r w:rsidRPr="00E676E5">
              <w:rPr>
                <w:rFonts w:cs="Calibri"/>
                <w:i/>
                <w:iCs/>
                <w:color w:val="000000"/>
                <w:sz w:val="20"/>
                <w:szCs w:val="20"/>
              </w:rPr>
              <w:t>spill</w:t>
            </w:r>
            <w:r w:rsidRPr="00E676E5">
              <w:rPr>
                <w:rFonts w:cs="Calibri"/>
                <w:color w:val="000000"/>
                <w:sz w:val="20"/>
                <w:szCs w:val="20"/>
              </w:rPr>
              <w:t xml:space="preserve"> sounds more like a </w:t>
            </w:r>
            <w:r w:rsidRPr="00E676E5">
              <w:rPr>
                <w:rFonts w:cs="Calibri"/>
                <w:i/>
                <w:iCs/>
                <w:color w:val="000000"/>
                <w:sz w:val="20"/>
                <w:szCs w:val="20"/>
              </w:rPr>
              <w:t>leak</w:t>
            </w:r>
            <w:r w:rsidRPr="00E676E5">
              <w:rPr>
                <w:rFonts w:cs="Calibri"/>
                <w:color w:val="000000"/>
                <w:sz w:val="20"/>
                <w:szCs w:val="20"/>
              </w:rPr>
              <w:t xml:space="preserve">. </w:t>
            </w:r>
          </w:p>
          <w:p w14:paraId="254BD7E2" w14:textId="3FA621E6" w:rsidR="00FF2DB6" w:rsidRPr="00E676E5" w:rsidRDefault="00FF2DB6" w:rsidP="00FF2DB6">
            <w:pPr>
              <w:spacing w:after="120" w:line="240" w:lineRule="auto"/>
              <w:rPr>
                <w:rFonts w:cs="Calibri"/>
                <w:color w:val="000000"/>
                <w:sz w:val="20"/>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C1EE" w14:textId="274C92BD"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Is there a difference between a </w:t>
            </w:r>
            <w:r w:rsidRPr="00E676E5">
              <w:rPr>
                <w:rFonts w:cs="Calibri"/>
                <w:i/>
                <w:iCs/>
                <w:color w:val="000000"/>
                <w:sz w:val="20"/>
                <w:szCs w:val="20"/>
              </w:rPr>
              <w:t>leak</w:t>
            </w:r>
            <w:r w:rsidRPr="00E676E5">
              <w:rPr>
                <w:rFonts w:cs="Calibri"/>
                <w:color w:val="000000"/>
                <w:sz w:val="20"/>
                <w:szCs w:val="20"/>
              </w:rPr>
              <w:t xml:space="preserve"> (in which unsealed substance is no longer contained) or </w:t>
            </w:r>
            <w:r w:rsidRPr="00E676E5">
              <w:rPr>
                <w:rFonts w:cs="Calibri"/>
                <w:i/>
                <w:iCs/>
                <w:color w:val="000000"/>
                <w:sz w:val="20"/>
                <w:szCs w:val="20"/>
              </w:rPr>
              <w:t>spill</w:t>
            </w:r>
            <w:r w:rsidRPr="00E676E5">
              <w:rPr>
                <w:rFonts w:cs="Calibri"/>
                <w:color w:val="000000"/>
                <w:sz w:val="20"/>
                <w:szCs w:val="20"/>
              </w:rPr>
              <w:t xml:space="preserve"> (unsealed substance escapes container onto other surfaces).  Are they both </w:t>
            </w:r>
            <w:r w:rsidRPr="00E676E5">
              <w:rPr>
                <w:rFonts w:cs="Calibri"/>
                <w:i/>
                <w:iCs/>
                <w:color w:val="000000"/>
                <w:sz w:val="20"/>
                <w:szCs w:val="20"/>
              </w:rPr>
              <w:t>spills</w:t>
            </w:r>
            <w:r w:rsidRPr="00E676E5">
              <w:rPr>
                <w:rFonts w:cs="Calibri"/>
                <w:color w:val="000000"/>
                <w:sz w:val="20"/>
                <w:szCs w:val="20"/>
              </w:rPr>
              <w:t>?</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B695" w14:textId="639C683F"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233EC" w14:textId="77777777" w:rsidR="00FF2DB6" w:rsidRPr="00E676E5" w:rsidRDefault="00FF2DB6" w:rsidP="00FF2DB6">
            <w:pPr>
              <w:spacing w:after="120" w:line="240" w:lineRule="auto"/>
              <w:rPr>
                <w:rFonts w:cs="Calibri"/>
                <w:color w:val="000000" w:themeColor="text1"/>
                <w:sz w:val="20"/>
                <w:szCs w:val="20"/>
              </w:rPr>
            </w:pPr>
          </w:p>
        </w:tc>
      </w:tr>
      <w:tr w:rsidR="00FF2DB6" w:rsidRPr="007D2238" w14:paraId="7BC20BEA"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01B5"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B1CA7A" w14:textId="36B31924" w:rsidR="00FF2DB6" w:rsidRPr="00640450" w:rsidRDefault="00FF2DB6" w:rsidP="00FF2DB6">
            <w:pPr>
              <w:spacing w:after="120" w:line="240" w:lineRule="auto"/>
              <w:rPr>
                <w:rFonts w:cs="Calibri"/>
                <w:sz w:val="20"/>
                <w:szCs w:val="20"/>
              </w:rPr>
            </w:pPr>
            <w:r w:rsidRPr="00640450">
              <w:rPr>
                <w:rFonts w:cs="Calibri"/>
                <w:sz w:val="20"/>
                <w:szCs w:val="20"/>
              </w:rPr>
              <w:t xml:space="preserve">10.1 New and amending existing definitions: </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2DEA" w14:textId="6092145F" w:rsidR="00FF2DB6" w:rsidRPr="00E676E5" w:rsidRDefault="00FF2DB6" w:rsidP="00FF2DB6">
            <w:pPr>
              <w:spacing w:after="120" w:line="240" w:lineRule="auto"/>
              <w:rPr>
                <w:rFonts w:eastAsia="Times New Roman" w:cs="Calibri"/>
                <w:sz w:val="20"/>
                <w:szCs w:val="20"/>
                <w:lang w:val="en-US"/>
              </w:rPr>
            </w:pPr>
            <w:r w:rsidRPr="00E676E5">
              <w:rPr>
                <w:rFonts w:cs="Calibri"/>
                <w:color w:val="000000"/>
                <w:sz w:val="20"/>
                <w:szCs w:val="20"/>
              </w:rPr>
              <w:t xml:space="preserve">Concern with new definition for </w:t>
            </w:r>
            <w:r w:rsidRPr="00E676E5">
              <w:rPr>
                <w:rFonts w:cs="Calibri"/>
                <w:i/>
                <w:iCs/>
                <w:color w:val="000000"/>
                <w:sz w:val="20"/>
                <w:szCs w:val="20"/>
              </w:rPr>
              <w:t>uniformly distributed</w:t>
            </w:r>
            <w:r w:rsidRPr="00E676E5">
              <w:rPr>
                <w:rFonts w:eastAsia="Times New Roman" w:cs="Calibri"/>
                <w:sz w:val="20"/>
                <w:szCs w:val="20"/>
                <w:lang w:val="en-US"/>
              </w:rPr>
              <w:t>.</w:t>
            </w:r>
          </w:p>
          <w:p w14:paraId="69B177B8" w14:textId="07FA718D" w:rsidR="00FF2DB6" w:rsidRPr="00E676E5" w:rsidRDefault="00FF2DB6" w:rsidP="00FF2DB6">
            <w:pPr>
              <w:spacing w:after="120" w:line="240" w:lineRule="auto"/>
              <w:rPr>
                <w:rFonts w:cs="Calibri"/>
                <w:color w:val="000000"/>
                <w:sz w:val="20"/>
                <w:szCs w:val="20"/>
              </w:rPr>
            </w:pPr>
            <w:r w:rsidRPr="00E676E5">
              <w:rPr>
                <w:rFonts w:eastAsia="Times New Roman" w:cs="Calibri"/>
                <w:sz w:val="20"/>
                <w:szCs w:val="20"/>
                <w:lang w:val="en-US"/>
              </w:rPr>
              <w:t>This relates to NSRDR and may also affect interpretation of PTNSR (and IAEA SSR-6 by extension) since the same undefined terminology is used (e.g., uniformly distributed, homogeneously distributed, distributed throughout).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142B" w14:textId="72649792" w:rsidR="00FF2DB6" w:rsidRPr="00E676E5" w:rsidRDefault="00FF2DB6" w:rsidP="00FF2DB6">
            <w:pPr>
              <w:spacing w:after="120" w:line="240" w:lineRule="auto"/>
              <w:rPr>
                <w:rFonts w:eastAsia="Times New Roman" w:cs="Calibri"/>
                <w:sz w:val="20"/>
                <w:szCs w:val="20"/>
                <w:lang w:val="en-US"/>
              </w:rPr>
            </w:pPr>
            <w:r w:rsidRPr="00E676E5">
              <w:rPr>
                <w:rFonts w:eastAsia="Times New Roman" w:cs="Calibri"/>
                <w:sz w:val="20"/>
                <w:szCs w:val="20"/>
                <w:lang w:val="en-US"/>
              </w:rPr>
              <w:t xml:space="preserve">Clarify how </w:t>
            </w:r>
            <w:r w:rsidRPr="00E676E5">
              <w:rPr>
                <w:rFonts w:eastAsia="Times New Roman" w:cs="Calibri"/>
                <w:i/>
                <w:iCs/>
                <w:sz w:val="20"/>
                <w:szCs w:val="20"/>
                <w:lang w:val="en-US"/>
              </w:rPr>
              <w:t>uniformly distributed</w:t>
            </w:r>
            <w:r w:rsidRPr="00E676E5">
              <w:rPr>
                <w:rFonts w:eastAsia="Times New Roman" w:cs="Calibri"/>
                <w:sz w:val="20"/>
                <w:szCs w:val="20"/>
                <w:lang w:val="en-US"/>
              </w:rPr>
              <w:t xml:space="preserve"> is defined. </w:t>
            </w:r>
          </w:p>
          <w:p w14:paraId="584AC009" w14:textId="21EAB38C"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Suggest revising definition to make it acceptable to use a factor of 10 for bulk material. (i.e., pure specific uniformly distributed activity is only possible for solutions).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EC37" w14:textId="5A4A8993" w:rsidR="00FF2DB6" w:rsidRPr="00640450" w:rsidRDefault="00FF2DB6" w:rsidP="00FF2DB6">
            <w:pPr>
              <w:spacing w:after="120" w:line="240" w:lineRule="auto"/>
              <w:ind w:left="-108"/>
              <w:jc w:val="center"/>
              <w:rPr>
                <w:rFonts w:cs="Calibri"/>
                <w:b/>
                <w:bCs/>
                <w:sz w:val="20"/>
                <w:szCs w:val="20"/>
              </w:rPr>
            </w:pPr>
            <w:r w:rsidRPr="00640450">
              <w:rPr>
                <w:rFonts w:cs="Calibri"/>
                <w:b/>
                <w:bCs/>
                <w:sz w:val="20"/>
                <w:szCs w:val="20"/>
              </w:rPr>
              <w:t>MAJOR</w:t>
            </w:r>
          </w:p>
        </w:tc>
        <w:tc>
          <w:tcPr>
            <w:tcW w:w="5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D6BE" w14:textId="73221E30" w:rsidR="00FF2DB6" w:rsidRPr="00E676E5" w:rsidRDefault="00FF2DB6" w:rsidP="00FF2DB6">
            <w:pPr>
              <w:spacing w:after="120" w:line="240" w:lineRule="auto"/>
              <w:rPr>
                <w:rFonts w:cs="Calibri"/>
                <w:color w:val="000000" w:themeColor="text1"/>
                <w:sz w:val="20"/>
                <w:szCs w:val="20"/>
              </w:rPr>
            </w:pPr>
            <w:r w:rsidRPr="00E676E5">
              <w:rPr>
                <w:rFonts w:cs="Calibri"/>
                <w:color w:val="000000"/>
                <w:sz w:val="20"/>
                <w:szCs w:val="20"/>
              </w:rPr>
              <w:t>Without this allowance there is no opportunity for a sustainable processing of solid waste or other decommissioning activities.</w:t>
            </w:r>
          </w:p>
        </w:tc>
      </w:tr>
      <w:tr w:rsidR="00FF2DB6" w:rsidRPr="007D2238" w14:paraId="75B1F965"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614F"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84A642" w14:textId="6FE55EFA" w:rsidR="00FF2DB6" w:rsidRPr="00640450" w:rsidRDefault="00FF2DB6" w:rsidP="00FF2DB6">
            <w:pPr>
              <w:spacing w:after="120" w:line="240" w:lineRule="auto"/>
              <w:rPr>
                <w:rFonts w:cs="Calibri"/>
                <w:sz w:val="20"/>
                <w:szCs w:val="20"/>
              </w:rPr>
            </w:pPr>
            <w:r w:rsidRPr="00640450">
              <w:rPr>
                <w:rFonts w:cs="Calibri"/>
                <w:sz w:val="20"/>
                <w:szCs w:val="20"/>
              </w:rPr>
              <w:t>10.1 New and amending existing definitions</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EBBF" w14:textId="7A0361E1" w:rsidR="00FF2DB6" w:rsidRPr="00E676E5" w:rsidRDefault="00FF2DB6" w:rsidP="00FF2DB6">
            <w:pPr>
              <w:spacing w:after="120" w:line="240" w:lineRule="auto"/>
              <w:rPr>
                <w:rFonts w:cs="Calibri"/>
                <w:color w:val="000000" w:themeColor="text1"/>
                <w:sz w:val="20"/>
                <w:szCs w:val="20"/>
              </w:rPr>
            </w:pPr>
            <w:r w:rsidRPr="00E676E5">
              <w:rPr>
                <w:rFonts w:cs="Calibri"/>
                <w:color w:val="000000"/>
                <w:sz w:val="20"/>
                <w:szCs w:val="20"/>
              </w:rPr>
              <w:t xml:space="preserve">Concern with amending definition for </w:t>
            </w:r>
            <w:r w:rsidRPr="00E676E5">
              <w:rPr>
                <w:rFonts w:cs="Calibri"/>
                <w:i/>
                <w:iCs/>
                <w:color w:val="000000"/>
                <w:sz w:val="20"/>
                <w:szCs w:val="20"/>
              </w:rPr>
              <w:t>exemption quantity</w:t>
            </w:r>
            <w:r w:rsidRPr="00E676E5">
              <w:rPr>
                <w:rFonts w:cs="Calibri"/>
                <w:color w:val="000000"/>
                <w:sz w:val="20"/>
                <w:szCs w:val="20"/>
              </w:rPr>
              <w: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2D9F3" w14:textId="43CAAF87" w:rsidR="00FF2DB6" w:rsidRPr="00E676E5" w:rsidRDefault="00FF2DB6" w:rsidP="00FF2DB6">
            <w:pPr>
              <w:spacing w:after="120" w:line="240" w:lineRule="auto"/>
              <w:rPr>
                <w:rFonts w:cs="Calibri"/>
                <w:sz w:val="20"/>
                <w:szCs w:val="20"/>
              </w:rPr>
            </w:pPr>
            <w:r w:rsidRPr="00E676E5">
              <w:rPr>
                <w:rFonts w:cs="Calibri"/>
                <w:color w:val="000000"/>
                <w:sz w:val="20"/>
                <w:szCs w:val="20"/>
              </w:rPr>
              <w:t xml:space="preserve">Seeking clarification on what will be different regarding this section’s definition for </w:t>
            </w:r>
            <w:r w:rsidRPr="00E676E5">
              <w:rPr>
                <w:rFonts w:cs="Calibri"/>
                <w:i/>
                <w:iCs/>
                <w:color w:val="000000"/>
                <w:sz w:val="20"/>
                <w:szCs w:val="20"/>
              </w:rPr>
              <w:lastRenderedPageBreak/>
              <w:t>exemption quantity</w:t>
            </w:r>
            <w:r w:rsidRPr="00E676E5">
              <w:rPr>
                <w:rFonts w:cs="Calibri"/>
                <w:color w:val="000000"/>
                <w:sz w:val="20"/>
                <w:szCs w:val="20"/>
              </w:rPr>
              <w:t xml:space="preserve"> versus existing definition for Part (c) (i) &amp; (ii)?</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17C4" w14:textId="02430F9A" w:rsidR="00FF2DB6" w:rsidRPr="00640450" w:rsidRDefault="00FF2DB6" w:rsidP="00FF2DB6">
            <w:pPr>
              <w:spacing w:after="120" w:line="240" w:lineRule="auto"/>
              <w:ind w:left="-108"/>
              <w:jc w:val="center"/>
              <w:rPr>
                <w:rFonts w:cs="Calibri"/>
                <w:sz w:val="20"/>
                <w:szCs w:val="20"/>
              </w:rPr>
            </w:pPr>
            <w:r w:rsidRPr="00640450">
              <w:rPr>
                <w:rFonts w:cs="Calibri"/>
                <w:sz w:val="20"/>
                <w:szCs w:val="20"/>
              </w:rPr>
              <w:lastRenderedPageBreak/>
              <w:t>Clarification</w:t>
            </w:r>
          </w:p>
        </w:tc>
        <w:tc>
          <w:tcPr>
            <w:tcW w:w="5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CA7E6" w14:textId="77777777" w:rsidR="00FF2DB6" w:rsidRPr="00E676E5" w:rsidRDefault="00FF2DB6" w:rsidP="00FF2DB6">
            <w:pPr>
              <w:spacing w:after="120" w:line="240" w:lineRule="auto"/>
              <w:rPr>
                <w:rFonts w:cs="Calibri"/>
                <w:color w:val="000000" w:themeColor="text1"/>
                <w:sz w:val="20"/>
                <w:szCs w:val="20"/>
              </w:rPr>
            </w:pPr>
          </w:p>
        </w:tc>
      </w:tr>
      <w:tr w:rsidR="00FF2DB6" w:rsidRPr="007D2238" w14:paraId="65D5F0B2"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6B00"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695B7B" w14:textId="77777777" w:rsidR="00FF2DB6" w:rsidRPr="00640450" w:rsidRDefault="00FF2DB6" w:rsidP="00FF2DB6">
            <w:pPr>
              <w:spacing w:after="120" w:line="240" w:lineRule="auto"/>
              <w:rPr>
                <w:rFonts w:cs="Calibri"/>
                <w:sz w:val="20"/>
                <w:szCs w:val="20"/>
              </w:rPr>
            </w:pPr>
            <w:r w:rsidRPr="00640450">
              <w:rPr>
                <w:rFonts w:cs="Calibri"/>
                <w:sz w:val="20"/>
                <w:szCs w:val="20"/>
              </w:rPr>
              <w:t xml:space="preserve">10.1 New and amending existing </w:t>
            </w:r>
            <w:proofErr w:type="gramStart"/>
            <w:r w:rsidRPr="00640450">
              <w:rPr>
                <w:rFonts w:cs="Calibri"/>
                <w:sz w:val="20"/>
                <w:szCs w:val="20"/>
              </w:rPr>
              <w:t>definitions</w:t>
            </w:r>
            <w:proofErr w:type="gramEnd"/>
          </w:p>
          <w:p w14:paraId="22ACE22D" w14:textId="77777777" w:rsidR="00FF2DB6" w:rsidRPr="00640450" w:rsidRDefault="00FF2DB6" w:rsidP="00FF2DB6">
            <w:pPr>
              <w:spacing w:after="120" w:line="240" w:lineRule="auto"/>
              <w:rPr>
                <w:rFonts w:cs="Calibri"/>
                <w:sz w:val="20"/>
                <w:szCs w:val="20"/>
              </w:rPr>
            </w:pPr>
            <w:r w:rsidRPr="00640450">
              <w:rPr>
                <w:rFonts w:cs="Calibri"/>
                <w:sz w:val="20"/>
                <w:szCs w:val="20"/>
              </w:rPr>
              <w:t xml:space="preserve"> &amp;</w:t>
            </w:r>
          </w:p>
          <w:p w14:paraId="5B2A5B6B" w14:textId="77777777" w:rsidR="00FF2DB6" w:rsidRPr="00640450" w:rsidRDefault="00FF2DB6" w:rsidP="00FF2DB6">
            <w:pPr>
              <w:spacing w:after="120" w:line="240" w:lineRule="auto"/>
              <w:rPr>
                <w:rFonts w:cs="Calibri"/>
                <w:sz w:val="20"/>
                <w:szCs w:val="20"/>
              </w:rPr>
            </w:pPr>
            <w:r w:rsidRPr="00640450">
              <w:rPr>
                <w:rFonts w:cs="Calibri"/>
                <w:sz w:val="20"/>
                <w:szCs w:val="20"/>
              </w:rPr>
              <w:t>10.10 Paragraph 12(1)(1), Application for Certification:</w:t>
            </w:r>
          </w:p>
          <w:p w14:paraId="729492FA" w14:textId="52678461" w:rsidR="00FF2DB6" w:rsidRPr="00640450" w:rsidRDefault="00FF2DB6" w:rsidP="00FF2DB6">
            <w:pPr>
              <w:spacing w:after="120" w:line="240" w:lineRule="auto"/>
              <w:rPr>
                <w:rFonts w:cs="Calibri"/>
                <w:sz w:val="20"/>
                <w:szCs w:val="20"/>
              </w:rPr>
            </w:pP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76539" w14:textId="4B03377C" w:rsidR="00FF2DB6" w:rsidRPr="00E676E5" w:rsidRDefault="00FF2DB6" w:rsidP="00FF2DB6">
            <w:pPr>
              <w:spacing w:after="120" w:line="240" w:lineRule="auto"/>
              <w:rPr>
                <w:rFonts w:cs="Calibri"/>
                <w:color w:val="000000" w:themeColor="text1"/>
                <w:sz w:val="20"/>
                <w:szCs w:val="20"/>
              </w:rPr>
            </w:pPr>
            <w:r w:rsidRPr="00E676E5">
              <w:rPr>
                <w:rFonts w:cs="Calibri"/>
                <w:color w:val="000000"/>
                <w:sz w:val="20"/>
                <w:szCs w:val="20"/>
              </w:rPr>
              <w:t xml:space="preserve">Concern with amending definition for </w:t>
            </w:r>
            <w:r w:rsidRPr="00E676E5">
              <w:rPr>
                <w:rFonts w:cs="Calibri"/>
                <w:i/>
                <w:iCs/>
                <w:color w:val="000000"/>
                <w:sz w:val="20"/>
                <w:szCs w:val="20"/>
              </w:rPr>
              <w:t>radiation device</w:t>
            </w:r>
            <w:r w:rsidRPr="00E676E5">
              <w:rPr>
                <w:rFonts w:cs="Calibri"/>
                <w:color w:val="000000"/>
                <w:sz w:val="20"/>
                <w:szCs w:val="20"/>
              </w:rPr>
              <w: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196C" w14:textId="77777777"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Suggest adding a definition for devices to avoid having equipment that are not technically devices being considered as such. </w:t>
            </w:r>
          </w:p>
          <w:p w14:paraId="0A5324D6" w14:textId="77846392" w:rsidR="00FF2DB6" w:rsidRPr="00E676E5" w:rsidRDefault="00FF2DB6" w:rsidP="00FF2DB6">
            <w:pPr>
              <w:spacing w:after="120" w:line="240" w:lineRule="auto"/>
              <w:ind w:left="144"/>
              <w:rPr>
                <w:rFonts w:cs="Calibri"/>
                <w:sz w:val="20"/>
                <w:szCs w:val="20"/>
              </w:rPr>
            </w:pPr>
            <w:r w:rsidRPr="00E676E5">
              <w:rPr>
                <w:rFonts w:cs="Calibri"/>
                <w:color w:val="000000"/>
                <w:sz w:val="20"/>
                <w:szCs w:val="20"/>
              </w:rPr>
              <w:t xml:space="preserve">For example: This will avoid sources attached to cables or other mechanisms being considered </w:t>
            </w:r>
            <w:r w:rsidRPr="00E676E5">
              <w:rPr>
                <w:rFonts w:cs="Calibri"/>
                <w:i/>
                <w:iCs/>
                <w:color w:val="000000"/>
                <w:sz w:val="20"/>
                <w:szCs w:val="20"/>
              </w:rPr>
              <w:t>radiation devices</w:t>
            </w:r>
            <w:r w:rsidRPr="00E676E5">
              <w:rPr>
                <w:rFonts w:cs="Calibri"/>
                <w:color w:val="000000"/>
                <w:sz w:val="20"/>
                <w:szCs w:val="20"/>
              </w:rPr>
              <w:t>, i.e., if the source is fully exposed or directly accessible when the device is not in operation it should not be considered a device.</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D326" w14:textId="42C6F49E"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9357D" w14:textId="77777777" w:rsidR="00FF2DB6" w:rsidRPr="00E676E5" w:rsidRDefault="00FF2DB6" w:rsidP="00FF2DB6">
            <w:pPr>
              <w:spacing w:after="120" w:line="240" w:lineRule="auto"/>
              <w:rPr>
                <w:rFonts w:cs="Calibri"/>
                <w:color w:val="000000" w:themeColor="text1"/>
                <w:sz w:val="20"/>
                <w:szCs w:val="20"/>
              </w:rPr>
            </w:pPr>
          </w:p>
        </w:tc>
      </w:tr>
      <w:tr w:rsidR="00FF2DB6" w:rsidRPr="007D2238" w14:paraId="551B8B98"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A956"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5DE182" w14:textId="5AFC2630" w:rsidR="00FF2DB6" w:rsidRPr="00640450" w:rsidRDefault="00FF2DB6" w:rsidP="00FF2DB6">
            <w:pPr>
              <w:spacing w:after="120" w:line="240" w:lineRule="auto"/>
              <w:rPr>
                <w:rFonts w:cs="Calibri"/>
                <w:sz w:val="20"/>
                <w:szCs w:val="20"/>
              </w:rPr>
            </w:pPr>
            <w:r w:rsidRPr="00640450">
              <w:rPr>
                <w:rFonts w:cs="Calibri"/>
                <w:sz w:val="20"/>
                <w:szCs w:val="20"/>
              </w:rPr>
              <w:t>10.3 Paragraph 5.1(2)(b), Abandonment or Disposal:</w:t>
            </w: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72B34" w14:textId="77777777" w:rsidR="00FF2DB6" w:rsidRPr="00E676E5" w:rsidRDefault="00FF2DB6" w:rsidP="00FF2DB6">
            <w:pPr>
              <w:spacing w:after="120" w:line="240" w:lineRule="auto"/>
              <w:rPr>
                <w:rFonts w:cs="Calibri"/>
                <w:sz w:val="20"/>
                <w:szCs w:val="20"/>
              </w:rPr>
            </w:pPr>
            <w:r w:rsidRPr="00E676E5">
              <w:rPr>
                <w:rFonts w:cs="Calibri"/>
                <w:sz w:val="20"/>
                <w:szCs w:val="20"/>
              </w:rPr>
              <w:t xml:space="preserve">The proposed change is unclear. </w:t>
            </w:r>
          </w:p>
          <w:p w14:paraId="30D9B059" w14:textId="77777777" w:rsidR="00FF2DB6" w:rsidRPr="00E676E5" w:rsidRDefault="00FF2DB6" w:rsidP="00FF2DB6">
            <w:pPr>
              <w:pStyle w:val="ListParagraph"/>
              <w:numPr>
                <w:ilvl w:val="0"/>
                <w:numId w:val="38"/>
              </w:numPr>
              <w:spacing w:after="120" w:line="240" w:lineRule="auto"/>
              <w:ind w:left="504"/>
              <w:rPr>
                <w:rFonts w:cs="Calibri"/>
                <w:sz w:val="20"/>
                <w:szCs w:val="20"/>
              </w:rPr>
            </w:pPr>
            <w:r w:rsidRPr="00E676E5">
              <w:rPr>
                <w:rFonts w:cs="Calibri"/>
                <w:sz w:val="20"/>
                <w:szCs w:val="20"/>
              </w:rPr>
              <w:t xml:space="preserve">Will this require the excepting of effluent discharges from Class I nuclear facilities? </w:t>
            </w:r>
          </w:p>
          <w:p w14:paraId="351411E1" w14:textId="77777777" w:rsidR="00FF2DB6" w:rsidRPr="00E676E5" w:rsidRDefault="00FF2DB6" w:rsidP="00FF2DB6">
            <w:pPr>
              <w:pStyle w:val="ListParagraph"/>
              <w:numPr>
                <w:ilvl w:val="0"/>
                <w:numId w:val="38"/>
              </w:numPr>
              <w:spacing w:after="120" w:line="240" w:lineRule="auto"/>
              <w:ind w:left="504"/>
              <w:rPr>
                <w:rFonts w:cs="Calibri"/>
                <w:sz w:val="20"/>
                <w:szCs w:val="20"/>
              </w:rPr>
            </w:pPr>
            <w:r w:rsidRPr="00E676E5">
              <w:rPr>
                <w:rFonts w:cs="Calibri"/>
                <w:sz w:val="20"/>
                <w:szCs w:val="20"/>
              </w:rPr>
              <w:t xml:space="preserve">Will this require changes to existing Power Reactor Operating Licences or Waste Facility Operating Licences? </w:t>
            </w:r>
          </w:p>
          <w:p w14:paraId="6F7CBE80" w14:textId="183DD6C2" w:rsidR="00FF2DB6" w:rsidRPr="00640450" w:rsidRDefault="00FF2DB6" w:rsidP="00FF2DB6">
            <w:pPr>
              <w:pStyle w:val="ListParagraph"/>
              <w:numPr>
                <w:ilvl w:val="0"/>
                <w:numId w:val="38"/>
              </w:numPr>
              <w:spacing w:after="120" w:line="240" w:lineRule="auto"/>
              <w:ind w:left="504"/>
              <w:rPr>
                <w:rFonts w:cs="Calibri"/>
                <w:sz w:val="20"/>
                <w:szCs w:val="20"/>
              </w:rPr>
            </w:pPr>
            <w:r w:rsidRPr="00E676E5">
              <w:rPr>
                <w:rFonts w:cs="Calibri"/>
                <w:sz w:val="20"/>
                <w:szCs w:val="20"/>
              </w:rPr>
              <w:t xml:space="preserve">Will licence amendments be needed to include </w:t>
            </w:r>
            <w:r w:rsidRPr="00640450">
              <w:rPr>
                <w:rFonts w:cs="Calibri"/>
                <w:sz w:val="20"/>
                <w:szCs w:val="20"/>
              </w:rPr>
              <w:t>disposal of effluents and emissions via air and water?</w:t>
            </w:r>
          </w:p>
          <w:p w14:paraId="1CA106E7" w14:textId="69B6A67D" w:rsidR="00FF2DB6" w:rsidRPr="00E676E5" w:rsidRDefault="00FF2DB6" w:rsidP="00FF2DB6">
            <w:pPr>
              <w:spacing w:after="120" w:line="240" w:lineRule="auto"/>
              <w:rPr>
                <w:rFonts w:cs="Calibri"/>
                <w:color w:val="000000"/>
                <w:sz w:val="20"/>
                <w:szCs w:val="20"/>
              </w:rPr>
            </w:pPr>
            <w:r w:rsidRPr="00640450">
              <w:rPr>
                <w:rFonts w:cs="Calibri"/>
                <w:sz w:val="20"/>
                <w:szCs w:val="20"/>
              </w:rPr>
              <w:t>Pending the clarification, this may lead to increased regulatory burden and/or risk of non-compliances.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29B1D" w14:textId="5AC0479B" w:rsidR="00FF2DB6" w:rsidRPr="00E676E5" w:rsidRDefault="00FF2DB6" w:rsidP="00FF2DB6">
            <w:pPr>
              <w:spacing w:after="120" w:line="240" w:lineRule="auto"/>
              <w:rPr>
                <w:rFonts w:cs="Calibri"/>
                <w:color w:val="000000"/>
                <w:sz w:val="20"/>
                <w:szCs w:val="20"/>
              </w:rPr>
            </w:pPr>
            <w:r w:rsidRPr="00E676E5">
              <w:rPr>
                <w:rFonts w:cs="Calibri"/>
                <w:sz w:val="20"/>
                <w:szCs w:val="20"/>
              </w:rPr>
              <w:t>Clarify what is being changed and impact to Industry.</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70B9F" w14:textId="77777777" w:rsidR="00FF2DB6" w:rsidRPr="00640450" w:rsidRDefault="00FF2DB6" w:rsidP="00FF2DB6">
            <w:pPr>
              <w:spacing w:after="120" w:line="240" w:lineRule="auto"/>
              <w:ind w:left="-108"/>
              <w:jc w:val="center"/>
              <w:rPr>
                <w:rFonts w:cs="Calibri"/>
                <w:strike/>
                <w:sz w:val="20"/>
                <w:szCs w:val="20"/>
              </w:rPr>
            </w:pPr>
            <w:r w:rsidRPr="00640450">
              <w:rPr>
                <w:rFonts w:cs="Calibri"/>
                <w:strike/>
                <w:sz w:val="20"/>
                <w:szCs w:val="20"/>
              </w:rPr>
              <w:t>MAJOR</w:t>
            </w:r>
          </w:p>
          <w:p w14:paraId="5B55A783" w14:textId="62D17DD6"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82FB9" w14:textId="4C81F49D" w:rsidR="00FF2DB6" w:rsidRPr="00E676E5" w:rsidRDefault="00FF2DB6" w:rsidP="00FF2DB6">
            <w:pPr>
              <w:spacing w:after="120" w:line="240" w:lineRule="auto"/>
              <w:rPr>
                <w:rFonts w:cs="Calibri"/>
                <w:strike/>
                <w:color w:val="000000" w:themeColor="text1"/>
                <w:sz w:val="20"/>
                <w:szCs w:val="20"/>
              </w:rPr>
            </w:pPr>
            <w:r w:rsidRPr="00E676E5">
              <w:rPr>
                <w:rFonts w:cs="Calibri"/>
                <w:strike/>
                <w:sz w:val="20"/>
                <w:szCs w:val="20"/>
              </w:rPr>
              <w:t>Confusion may lead to regulatory burden or not following the Regulations.</w:t>
            </w:r>
          </w:p>
        </w:tc>
      </w:tr>
      <w:tr w:rsidR="00FF2DB6" w:rsidRPr="007D2238" w14:paraId="4503059E"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873A"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4AC4B1" w14:textId="2674F2F6" w:rsidR="00FF2DB6" w:rsidRPr="00640450" w:rsidRDefault="00FF2DB6" w:rsidP="00FF2DB6">
            <w:pPr>
              <w:spacing w:after="120" w:line="240" w:lineRule="auto"/>
              <w:rPr>
                <w:rFonts w:cs="Calibri"/>
                <w:sz w:val="20"/>
                <w:szCs w:val="20"/>
              </w:rPr>
            </w:pPr>
            <w:r w:rsidRPr="00640450">
              <w:rPr>
                <w:rFonts w:cs="Calibri"/>
                <w:sz w:val="20"/>
                <w:szCs w:val="20"/>
              </w:rPr>
              <w:t xml:space="preserve">10.4 Section 6, Smoke Detectors </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9B8F" w14:textId="0136A47F" w:rsidR="00FF2DB6" w:rsidRPr="00E676E5" w:rsidRDefault="00FF2DB6" w:rsidP="00FF2DB6">
            <w:pPr>
              <w:spacing w:after="120" w:line="240" w:lineRule="auto"/>
              <w:rPr>
                <w:rFonts w:cs="Calibri"/>
                <w:color w:val="000000" w:themeColor="text1"/>
                <w:sz w:val="20"/>
                <w:szCs w:val="20"/>
              </w:rPr>
            </w:pPr>
            <w:r w:rsidRPr="00E676E5">
              <w:rPr>
                <w:rFonts w:cs="Calibri"/>
                <w:color w:val="000000"/>
                <w:sz w:val="20"/>
                <w:szCs w:val="20"/>
              </w:rPr>
              <w:t xml:space="preserve">Additional information should be included in these sections to provide guidance on disposal and identify if there are any limitations.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3" w14:textId="28514486" w:rsidR="00FF2DB6" w:rsidRPr="00E676E5" w:rsidRDefault="00FF2DB6" w:rsidP="00FF2DB6">
            <w:pPr>
              <w:spacing w:after="120" w:line="240" w:lineRule="auto"/>
              <w:rPr>
                <w:rFonts w:cs="Calibri"/>
                <w:sz w:val="20"/>
                <w:szCs w:val="20"/>
              </w:rPr>
            </w:pPr>
            <w:r w:rsidRPr="00E676E5">
              <w:rPr>
                <w:rFonts w:cs="Calibri"/>
                <w:color w:val="000000"/>
                <w:sz w:val="20"/>
                <w:szCs w:val="20"/>
              </w:rPr>
              <w:t>Suggest adding guidance for disposal and any related limitations.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6451" w14:textId="50BE9ED9"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34460" w14:textId="77777777" w:rsidR="00FF2DB6" w:rsidRPr="00E676E5" w:rsidRDefault="00FF2DB6" w:rsidP="00FF2DB6">
            <w:pPr>
              <w:spacing w:after="120" w:line="240" w:lineRule="auto"/>
              <w:rPr>
                <w:rFonts w:cs="Calibri"/>
                <w:color w:val="000000" w:themeColor="text1"/>
                <w:sz w:val="20"/>
                <w:szCs w:val="20"/>
              </w:rPr>
            </w:pPr>
          </w:p>
        </w:tc>
      </w:tr>
      <w:tr w:rsidR="00FF2DB6" w:rsidRPr="007D2238" w14:paraId="37EF39BC"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9C54"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9D48AD" w14:textId="6F999969" w:rsidR="00FF2DB6" w:rsidRPr="00640450" w:rsidRDefault="00FF2DB6" w:rsidP="00FF2DB6">
            <w:pPr>
              <w:spacing w:after="120" w:line="240" w:lineRule="auto"/>
              <w:rPr>
                <w:rFonts w:cs="Calibri"/>
                <w:sz w:val="20"/>
                <w:szCs w:val="20"/>
              </w:rPr>
            </w:pPr>
            <w:r w:rsidRPr="00640450">
              <w:rPr>
                <w:rFonts w:cs="Calibri"/>
                <w:sz w:val="20"/>
                <w:szCs w:val="20"/>
              </w:rPr>
              <w:t>10.5 Section 7 Tritium Safety Signs</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EEFD" w14:textId="7113A07E"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Additional information should be included in these sections to provide guidance on disposal and identify if there are any limitations.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2717" w14:textId="1900F025"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Suggest adding guidance for disposal and any related limitations.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8CA0" w14:textId="54098459"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9A5ED" w14:textId="77777777" w:rsidR="00FF2DB6" w:rsidRPr="00E676E5" w:rsidRDefault="00FF2DB6" w:rsidP="00FF2DB6">
            <w:pPr>
              <w:spacing w:after="120" w:line="240" w:lineRule="auto"/>
              <w:rPr>
                <w:rFonts w:cs="Calibri"/>
                <w:color w:val="000000" w:themeColor="text1"/>
                <w:sz w:val="20"/>
                <w:szCs w:val="20"/>
              </w:rPr>
            </w:pPr>
          </w:p>
        </w:tc>
      </w:tr>
      <w:tr w:rsidR="00FF2DB6" w:rsidRPr="007D2238" w14:paraId="403F38FC"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783A"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6ACDAA" w14:textId="55D41395" w:rsidR="00FF2DB6" w:rsidRPr="00640450" w:rsidRDefault="00FF2DB6" w:rsidP="00FF2DB6">
            <w:pPr>
              <w:spacing w:after="120" w:line="240" w:lineRule="auto"/>
              <w:rPr>
                <w:rFonts w:cs="Calibri"/>
                <w:sz w:val="20"/>
                <w:szCs w:val="20"/>
              </w:rPr>
            </w:pPr>
            <w:r w:rsidRPr="00640450">
              <w:rPr>
                <w:rFonts w:cs="Calibri"/>
                <w:sz w:val="20"/>
                <w:szCs w:val="20"/>
              </w:rPr>
              <w:t>10.11 Subsection 18(2), Leak Tests</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2DC5" w14:textId="411C70B9"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S.18.1 of the NSRD indicates that a leak test is needed when a nuclear substance is used as shielding. Depleted uranium (DU) is a typical case of nuclear substance used as a shielding.  Being a metal with uniformly distributed </w:t>
            </w:r>
            <w:r w:rsidRPr="00E676E5">
              <w:rPr>
                <w:rFonts w:cs="Calibri"/>
                <w:color w:val="000000"/>
                <w:sz w:val="20"/>
                <w:szCs w:val="20"/>
              </w:rPr>
              <w:lastRenderedPageBreak/>
              <w:t xml:space="preserve">transuranic activity, migration of contamination to the surface is an unlikely scenario.  </w:t>
            </w:r>
          </w:p>
          <w:p w14:paraId="5B730567" w14:textId="023A77EE" w:rsidR="00FF2DB6" w:rsidRPr="00E676E5" w:rsidRDefault="00FF2DB6" w:rsidP="00FF2DB6">
            <w:pPr>
              <w:spacing w:after="120" w:line="240" w:lineRule="auto"/>
              <w:rPr>
                <w:rFonts w:cs="Calibri"/>
                <w:color w:val="000000"/>
                <w:sz w:val="20"/>
                <w:szCs w:val="20"/>
              </w:rPr>
            </w:pPr>
            <w:r w:rsidRPr="00E676E5">
              <w:rPr>
                <w:rFonts w:cs="Calibri"/>
                <w:color w:val="000000"/>
                <w:sz w:val="20"/>
                <w:szCs w:val="20"/>
              </w:rPr>
              <w:t xml:space="preserve">Noting cross contamination is possible and it will undergo decontamination practices like any material which is contaminated, it remains unclear then:  </w:t>
            </w:r>
          </w:p>
          <w:p w14:paraId="66A3178F" w14:textId="77777777" w:rsidR="00FF2DB6" w:rsidRPr="00E676E5" w:rsidRDefault="00FF2DB6" w:rsidP="00FF2DB6">
            <w:pPr>
              <w:spacing w:after="120" w:line="240" w:lineRule="auto"/>
              <w:ind w:left="144"/>
              <w:rPr>
                <w:rFonts w:cs="Calibri"/>
                <w:color w:val="000000"/>
                <w:sz w:val="20"/>
                <w:szCs w:val="20"/>
              </w:rPr>
            </w:pPr>
            <w:r w:rsidRPr="00E676E5">
              <w:rPr>
                <w:rFonts w:cs="Calibri"/>
                <w:color w:val="000000"/>
                <w:sz w:val="20"/>
                <w:szCs w:val="20"/>
              </w:rPr>
              <w:t>1.- Why a leak test is needed?</w:t>
            </w:r>
          </w:p>
          <w:p w14:paraId="7B60F19C" w14:textId="19CBAC4F" w:rsidR="00FF2DB6" w:rsidRPr="00E676E5" w:rsidRDefault="00FF2DB6" w:rsidP="00FF2DB6">
            <w:pPr>
              <w:spacing w:after="120" w:line="240" w:lineRule="auto"/>
              <w:ind w:left="144"/>
              <w:rPr>
                <w:rFonts w:cs="Calibri"/>
                <w:color w:val="000000"/>
                <w:sz w:val="20"/>
                <w:szCs w:val="20"/>
              </w:rPr>
            </w:pPr>
            <w:r w:rsidRPr="00E676E5">
              <w:rPr>
                <w:rFonts w:cs="Calibri"/>
                <w:color w:val="000000"/>
                <w:sz w:val="20"/>
                <w:szCs w:val="20"/>
              </w:rPr>
              <w:t xml:space="preserve">2.- What additional actions are required upon identifying &gt;200 </w:t>
            </w:r>
            <w:proofErr w:type="spellStart"/>
            <w:r w:rsidRPr="00E676E5">
              <w:rPr>
                <w:rFonts w:cs="Calibri"/>
                <w:color w:val="000000"/>
                <w:sz w:val="20"/>
                <w:szCs w:val="20"/>
              </w:rPr>
              <w:t>Bq</w:t>
            </w:r>
            <w:proofErr w:type="spellEnd"/>
            <w:r w:rsidRPr="00E676E5">
              <w:rPr>
                <w:rFonts w:cs="Calibri"/>
                <w:color w:val="000000"/>
                <w:sz w:val="20"/>
                <w:szCs w:val="20"/>
              </w:rPr>
              <w:t xml:space="preserve"> from the leak test performed on the shielding, independent of the need to report?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73A" w14:textId="7E708BC8" w:rsidR="00FF2DB6" w:rsidRPr="00640450" w:rsidRDefault="00FF2DB6" w:rsidP="00FF2DB6">
            <w:pPr>
              <w:spacing w:after="120" w:line="240" w:lineRule="auto"/>
              <w:rPr>
                <w:rFonts w:cs="Calibri"/>
                <w:sz w:val="20"/>
                <w:szCs w:val="20"/>
              </w:rPr>
            </w:pPr>
            <w:r w:rsidRPr="00640450">
              <w:rPr>
                <w:rFonts w:cs="Calibri"/>
                <w:sz w:val="20"/>
                <w:szCs w:val="20"/>
              </w:rPr>
              <w:lastRenderedPageBreak/>
              <w:t xml:space="preserve">Industry supports the move to only require leaking testing of DU shielding when there is potential damage but is seeking clarity on why leak testing of DU shielding is continuing </w:t>
            </w:r>
            <w:r w:rsidRPr="00640450">
              <w:rPr>
                <w:rFonts w:cs="Calibri"/>
                <w:sz w:val="20"/>
                <w:szCs w:val="20"/>
              </w:rPr>
              <w:lastRenderedPageBreak/>
              <w:t>to be required for exposure devices in consideration of the fact that they are already required to be leak tested based on radiography source’s activity.</w:t>
            </w:r>
          </w:p>
          <w:p w14:paraId="5121DB71" w14:textId="359E00A2" w:rsidR="00FF2DB6" w:rsidRPr="00E676E5" w:rsidRDefault="00FF2DB6" w:rsidP="00FF2DB6">
            <w:pPr>
              <w:spacing w:after="120" w:line="240" w:lineRule="auto"/>
              <w:rPr>
                <w:rFonts w:cs="Calibri"/>
                <w:color w:val="000000"/>
                <w:sz w:val="20"/>
                <w:szCs w:val="2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5BF0" w14:textId="098B0798" w:rsidR="00FF2DB6" w:rsidRPr="00640450" w:rsidRDefault="00FF2DB6" w:rsidP="00FF2DB6">
            <w:pPr>
              <w:spacing w:after="120" w:line="240" w:lineRule="auto"/>
              <w:ind w:left="-108"/>
              <w:jc w:val="center"/>
              <w:rPr>
                <w:rFonts w:cs="Calibri"/>
                <w:sz w:val="20"/>
                <w:szCs w:val="20"/>
              </w:rPr>
            </w:pPr>
            <w:r w:rsidRPr="00640450">
              <w:rPr>
                <w:rFonts w:cs="Calibri"/>
                <w:sz w:val="20"/>
                <w:szCs w:val="20"/>
              </w:rPr>
              <w:lastRenderedPageBreak/>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FD083" w14:textId="3EBEF746" w:rsidR="00FF2DB6" w:rsidRPr="00E676E5" w:rsidRDefault="00FF2DB6" w:rsidP="00FF2DB6">
            <w:pPr>
              <w:spacing w:after="120" w:line="240" w:lineRule="auto"/>
              <w:rPr>
                <w:rFonts w:cs="Calibri"/>
                <w:color w:val="000000" w:themeColor="text1"/>
                <w:sz w:val="20"/>
                <w:szCs w:val="20"/>
              </w:rPr>
            </w:pPr>
          </w:p>
        </w:tc>
      </w:tr>
      <w:tr w:rsidR="00FF2DB6" w:rsidRPr="007D2238" w14:paraId="12EDB243" w14:textId="77777777" w:rsidTr="005807FC">
        <w:trPr>
          <w:trHeight w:val="74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4FA1"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C7D972" w14:textId="7FAF4E7C" w:rsidR="00FF2DB6" w:rsidRPr="00640450" w:rsidRDefault="00FF2DB6" w:rsidP="00FF2DB6">
            <w:pPr>
              <w:spacing w:after="120" w:line="240" w:lineRule="auto"/>
              <w:rPr>
                <w:rFonts w:cs="Calibri"/>
                <w:sz w:val="20"/>
                <w:szCs w:val="20"/>
              </w:rPr>
            </w:pPr>
            <w:r w:rsidRPr="00640450">
              <w:rPr>
                <w:rFonts w:cs="Calibri"/>
                <w:sz w:val="20"/>
                <w:szCs w:val="20"/>
              </w:rPr>
              <w:t>10.12 Subsection 19(1), Transfers</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B963" w14:textId="43C6878D" w:rsidR="00FF2DB6" w:rsidRPr="00E676E5" w:rsidRDefault="00FF2DB6" w:rsidP="00FF2DB6">
            <w:pPr>
              <w:spacing w:after="120" w:line="240" w:lineRule="auto"/>
              <w:rPr>
                <w:rFonts w:cs="Calibri"/>
                <w:color w:val="000000" w:themeColor="text1"/>
                <w:sz w:val="20"/>
                <w:szCs w:val="20"/>
              </w:rPr>
            </w:pPr>
            <w:r w:rsidRPr="00E676E5">
              <w:rPr>
                <w:rFonts w:cs="Calibri"/>
                <w:color w:val="000000"/>
                <w:sz w:val="20"/>
                <w:szCs w:val="20"/>
              </w:rPr>
              <w:t xml:space="preserve">Can this information be transferred electronically prior to shipping, e.g., via on-line and/or email?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DF609" w14:textId="324AFDBF" w:rsidR="00FF2DB6" w:rsidRPr="00E676E5" w:rsidRDefault="00FF2DB6" w:rsidP="00FF2DB6">
            <w:pPr>
              <w:spacing w:after="120" w:line="240" w:lineRule="auto"/>
              <w:rPr>
                <w:rFonts w:cs="Calibri"/>
                <w:color w:val="000000" w:themeColor="text1"/>
                <w:sz w:val="20"/>
                <w:szCs w:val="20"/>
              </w:rPr>
            </w:pPr>
            <w:r w:rsidRPr="00E676E5">
              <w:rPr>
                <w:rFonts w:cs="Calibri"/>
                <w:color w:val="000000"/>
                <w:sz w:val="20"/>
                <w:szCs w:val="20"/>
              </w:rPr>
              <w:t>Seeking clarity on method and timing of transferring the information.</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A6C4" w14:textId="01F553D8"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E6B78" w14:textId="77777777" w:rsidR="00FF2DB6" w:rsidRPr="00E676E5" w:rsidRDefault="00FF2DB6" w:rsidP="00FF2DB6">
            <w:pPr>
              <w:spacing w:after="120" w:line="240" w:lineRule="auto"/>
              <w:rPr>
                <w:rFonts w:cs="Calibri"/>
                <w:color w:val="000000" w:themeColor="text1"/>
                <w:sz w:val="20"/>
                <w:szCs w:val="20"/>
              </w:rPr>
            </w:pPr>
          </w:p>
        </w:tc>
      </w:tr>
      <w:tr w:rsidR="00FF2DB6" w:rsidRPr="007D2238" w14:paraId="779BC92E"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3626"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2F60ED" w14:textId="4C7217D7" w:rsidR="00FF2DB6" w:rsidRPr="00640450" w:rsidRDefault="00FF2DB6" w:rsidP="00FF2DB6">
            <w:pPr>
              <w:spacing w:after="120" w:line="240" w:lineRule="auto"/>
              <w:rPr>
                <w:rFonts w:cs="Calibri"/>
                <w:sz w:val="20"/>
                <w:szCs w:val="20"/>
              </w:rPr>
            </w:pPr>
            <w:r w:rsidRPr="00640450">
              <w:rPr>
                <w:rFonts w:cs="Calibri"/>
                <w:sz w:val="20"/>
                <w:szCs w:val="20"/>
              </w:rPr>
              <w:t>10.15.4 Paragraphs 31(1)(j) and (k), Subsection 31(5) Obligations of Operators</w:t>
            </w: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25F845" w14:textId="7B0D0A21" w:rsidR="00FF2DB6" w:rsidRPr="00E676E5" w:rsidRDefault="00FF2DB6" w:rsidP="00FF2DB6">
            <w:pPr>
              <w:spacing w:after="120" w:line="240" w:lineRule="auto"/>
              <w:rPr>
                <w:rFonts w:cs="Calibri"/>
                <w:i/>
                <w:iCs/>
                <w:color w:val="000000"/>
                <w:sz w:val="20"/>
                <w:szCs w:val="20"/>
              </w:rPr>
            </w:pPr>
            <w:r w:rsidRPr="00E676E5">
              <w:rPr>
                <w:rFonts w:cs="Calibri"/>
                <w:i/>
                <w:iCs/>
                <w:color w:val="000000" w:themeColor="text1"/>
                <w:sz w:val="20"/>
                <w:szCs w:val="20"/>
              </w:rPr>
              <w:t xml:space="preserve">The CNSC intends to amend subsection 31(5) by removing the term “work shift” and replacing it with a limit of 2 mSv in a 24-hour period, to reduce the risk of a worker potentially receiving a higher dose based on how their work shifts were structured. </w:t>
            </w:r>
          </w:p>
          <w:p w14:paraId="1AA63253" w14:textId="024B8366" w:rsidR="00FF2DB6" w:rsidRPr="00E676E5" w:rsidRDefault="00FF2DB6" w:rsidP="00FF2DB6">
            <w:pPr>
              <w:spacing w:after="120" w:line="240" w:lineRule="auto"/>
              <w:rPr>
                <w:rFonts w:cs="Calibri"/>
                <w:sz w:val="20"/>
                <w:szCs w:val="20"/>
              </w:rPr>
            </w:pPr>
            <w:r w:rsidRPr="00E676E5">
              <w:rPr>
                <w:rFonts w:cs="Calibri"/>
                <w:color w:val="000000" w:themeColor="text1"/>
                <w:sz w:val="20"/>
                <w:szCs w:val="20"/>
              </w:rPr>
              <w:t xml:space="preserve">The proposed change of ensuring exposure device operators do not exceed 2mSv in a </w:t>
            </w:r>
            <w:r w:rsidRPr="00E676E5">
              <w:rPr>
                <w:rFonts w:cs="Calibri"/>
                <w:i/>
                <w:iCs/>
                <w:color w:val="000000" w:themeColor="text1"/>
                <w:sz w:val="20"/>
                <w:szCs w:val="20"/>
              </w:rPr>
              <w:t>work shift</w:t>
            </w:r>
            <w:r w:rsidRPr="00E676E5">
              <w:rPr>
                <w:rFonts w:cs="Calibri"/>
                <w:color w:val="000000" w:themeColor="text1"/>
                <w:sz w:val="20"/>
                <w:szCs w:val="20"/>
              </w:rPr>
              <w:t xml:space="preserve">, to 2 mSv in 24 hours causes undue burden in radiation dose tracking.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E7EC0" w14:textId="77777777" w:rsidR="00FF2DB6" w:rsidRPr="00E676E5" w:rsidRDefault="00FF2DB6" w:rsidP="00FF2DB6">
            <w:pPr>
              <w:spacing w:after="120" w:line="240" w:lineRule="auto"/>
              <w:rPr>
                <w:rFonts w:cs="Calibri"/>
                <w:color w:val="FF0000"/>
                <w:sz w:val="20"/>
                <w:szCs w:val="20"/>
              </w:rPr>
            </w:pPr>
            <w:r w:rsidRPr="00E676E5">
              <w:rPr>
                <w:rFonts w:cs="Calibri"/>
                <w:color w:val="FF0000"/>
                <w:sz w:val="20"/>
                <w:szCs w:val="20"/>
              </w:rPr>
              <w:t xml:space="preserve">Suggested change: </w:t>
            </w:r>
          </w:p>
          <w:p w14:paraId="74E565E7" w14:textId="19A043A9" w:rsidR="00FF2DB6" w:rsidRPr="00E676E5" w:rsidRDefault="00FF2DB6" w:rsidP="00FF2DB6">
            <w:pPr>
              <w:spacing w:after="120" w:line="240" w:lineRule="auto"/>
              <w:rPr>
                <w:rFonts w:cs="Calibri"/>
                <w:color w:val="FF0000"/>
                <w:sz w:val="20"/>
                <w:szCs w:val="20"/>
              </w:rPr>
            </w:pPr>
            <w:r w:rsidRPr="00E676E5">
              <w:rPr>
                <w:rFonts w:cs="Calibri"/>
                <w:color w:val="FF0000"/>
                <w:sz w:val="20"/>
                <w:szCs w:val="20"/>
              </w:rPr>
              <w:t xml:space="preserve">Maintain the requirement as currently stated using the term </w:t>
            </w:r>
            <w:r w:rsidRPr="00E676E5">
              <w:rPr>
                <w:rFonts w:cs="Calibri"/>
                <w:i/>
                <w:iCs/>
                <w:color w:val="FF0000"/>
                <w:sz w:val="20"/>
                <w:szCs w:val="20"/>
              </w:rPr>
              <w:t>work shift</w:t>
            </w:r>
            <w:r w:rsidRPr="00E676E5">
              <w:rPr>
                <w:rFonts w:cs="Calibri"/>
                <w:color w:val="FF0000"/>
                <w:sz w:val="20"/>
                <w:szCs w:val="20"/>
              </w:rPr>
              <w:t xml:space="preserve">. </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34143" w14:textId="50A32341" w:rsidR="00FF2DB6" w:rsidRPr="00640450" w:rsidRDefault="00FF2DB6" w:rsidP="00FF2DB6">
            <w:pPr>
              <w:spacing w:after="120" w:line="240" w:lineRule="auto"/>
              <w:ind w:left="-108"/>
              <w:jc w:val="center"/>
              <w:rPr>
                <w:rFonts w:cs="Calibri"/>
                <w:b/>
                <w:bCs/>
                <w:sz w:val="20"/>
                <w:szCs w:val="20"/>
              </w:rPr>
            </w:pPr>
            <w:r w:rsidRPr="00640450">
              <w:rPr>
                <w:rFonts w:cs="Calibri"/>
                <w:b/>
                <w:bCs/>
                <w:sz w:val="20"/>
                <w:szCs w:val="20"/>
              </w:rPr>
              <w:t>MAJOR</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B6203" w14:textId="6C56AEF7" w:rsidR="00FF2DB6" w:rsidRPr="00E676E5" w:rsidRDefault="00FF2DB6" w:rsidP="00FF2DB6">
            <w:pPr>
              <w:spacing w:after="120" w:line="240" w:lineRule="auto"/>
              <w:rPr>
                <w:rFonts w:cs="Calibri"/>
                <w:sz w:val="20"/>
                <w:szCs w:val="20"/>
              </w:rPr>
            </w:pPr>
            <w:r w:rsidRPr="00E676E5">
              <w:rPr>
                <w:rFonts w:cs="Calibri"/>
                <w:color w:val="000000" w:themeColor="text1"/>
                <w:sz w:val="20"/>
                <w:szCs w:val="20"/>
              </w:rPr>
              <w:t xml:space="preserve">It is not expected that a worker would have 2 or more full shifts within a 24-hour period. The tracking of dose to within a 24-hour period causes undue burden on the licensee to track previous exposure, when robust dosimetry programs are already in place which include controls to ensure workers do not exceed regulatory limits within a </w:t>
            </w:r>
            <w:r w:rsidRPr="00E676E5">
              <w:rPr>
                <w:rFonts w:cs="Calibri"/>
                <w:i/>
                <w:iCs/>
                <w:color w:val="000000" w:themeColor="text1"/>
                <w:sz w:val="20"/>
                <w:szCs w:val="20"/>
              </w:rPr>
              <w:t>work shift</w:t>
            </w:r>
            <w:r w:rsidRPr="00E676E5">
              <w:rPr>
                <w:rFonts w:cs="Calibri"/>
                <w:color w:val="000000" w:themeColor="text1"/>
                <w:sz w:val="20"/>
                <w:szCs w:val="20"/>
              </w:rPr>
              <w:t xml:space="preserve"> and within the current year.  </w:t>
            </w:r>
          </w:p>
        </w:tc>
      </w:tr>
      <w:tr w:rsidR="00FF2DB6" w:rsidRPr="007D2238" w14:paraId="2896FF66" w14:textId="77777777" w:rsidTr="005807F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82C6" w14:textId="77777777" w:rsidR="00FF2DB6" w:rsidRPr="00E069AB" w:rsidRDefault="00FF2DB6" w:rsidP="00FF2DB6">
            <w:pPr>
              <w:pStyle w:val="ListParagraph"/>
              <w:numPr>
                <w:ilvl w:val="0"/>
                <w:numId w:val="41"/>
              </w:numPr>
              <w:spacing w:after="120" w:line="240" w:lineRule="auto"/>
              <w:ind w:left="504"/>
              <w:jc w:val="both"/>
              <w:rPr>
                <w:rFonts w:cs="Calibri"/>
                <w:b/>
                <w:bCs/>
                <w:color w:val="275317" w:themeColor="accent6" w:themeShade="80"/>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E65AFF" w14:textId="77777777" w:rsidR="00FF2DB6" w:rsidRPr="00640450" w:rsidRDefault="00FF2DB6" w:rsidP="00FF2DB6">
            <w:pPr>
              <w:spacing w:after="120" w:line="240" w:lineRule="auto"/>
              <w:rPr>
                <w:rFonts w:cs="Calibri"/>
                <w:sz w:val="20"/>
                <w:szCs w:val="20"/>
              </w:rPr>
            </w:pPr>
            <w:r w:rsidRPr="00640450">
              <w:rPr>
                <w:rFonts w:cs="Calibri"/>
                <w:sz w:val="20"/>
                <w:szCs w:val="20"/>
              </w:rPr>
              <w:t>NSRDR 18(1)</w:t>
            </w:r>
          </w:p>
        </w:tc>
        <w:tc>
          <w:tcPr>
            <w:tcW w:w="5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88FB7" w14:textId="77777777" w:rsidR="00FF2DB6" w:rsidRPr="00640450" w:rsidRDefault="00FF2DB6" w:rsidP="00FF2DB6">
            <w:pPr>
              <w:spacing w:after="120" w:line="240" w:lineRule="auto"/>
              <w:rPr>
                <w:rFonts w:cs="Calibri"/>
                <w:sz w:val="20"/>
                <w:szCs w:val="20"/>
              </w:rPr>
            </w:pPr>
            <w:r w:rsidRPr="00E676E5">
              <w:rPr>
                <w:rFonts w:cs="Calibri"/>
                <w:color w:val="000000" w:themeColor="text1"/>
                <w:sz w:val="20"/>
                <w:szCs w:val="20"/>
              </w:rPr>
              <w:t xml:space="preserve">It is unclear whether leak testing applies to nuclear substances as shielding with any quantity, or only if </w:t>
            </w:r>
            <w:r w:rsidRPr="00640450">
              <w:rPr>
                <w:rFonts w:cs="Calibri"/>
                <w:sz w:val="20"/>
                <w:szCs w:val="20"/>
              </w:rPr>
              <w:t xml:space="preserve">quantity is greater than or equal to 50 MBq.  </w:t>
            </w:r>
          </w:p>
          <w:p w14:paraId="023DD417" w14:textId="5086AE39" w:rsidR="00FF2DB6" w:rsidRPr="00E676E5" w:rsidRDefault="00FF2DB6" w:rsidP="00FF2DB6">
            <w:pPr>
              <w:spacing w:after="120" w:line="240" w:lineRule="auto"/>
              <w:rPr>
                <w:rFonts w:cs="Calibri"/>
                <w:sz w:val="20"/>
                <w:szCs w:val="20"/>
              </w:rPr>
            </w:pPr>
            <w:r w:rsidRPr="00640450">
              <w:rPr>
                <w:rFonts w:cs="Calibri"/>
                <w:sz w:val="20"/>
                <w:szCs w:val="20"/>
              </w:rPr>
              <w:t>The working should be revised to eliminate the potential for misinterpretation.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E159A" w14:textId="745DD4B3" w:rsidR="00FF2DB6" w:rsidRPr="00640450" w:rsidRDefault="00FF2DB6" w:rsidP="00FF2DB6">
            <w:pPr>
              <w:spacing w:after="120" w:line="240" w:lineRule="auto"/>
              <w:rPr>
                <w:rFonts w:cs="Calibri"/>
                <w:sz w:val="20"/>
                <w:szCs w:val="20"/>
              </w:rPr>
            </w:pPr>
            <w:r w:rsidRPr="00640450">
              <w:rPr>
                <w:rFonts w:cs="Calibri"/>
                <w:sz w:val="20"/>
                <w:szCs w:val="20"/>
              </w:rPr>
              <w:t>Suggested change:</w:t>
            </w:r>
          </w:p>
          <w:p w14:paraId="668F84F8" w14:textId="63870817" w:rsidR="00FF2DB6" w:rsidRPr="00E676E5" w:rsidRDefault="00FF2DB6" w:rsidP="00FF2DB6">
            <w:pPr>
              <w:spacing w:after="120" w:line="240" w:lineRule="auto"/>
              <w:rPr>
                <w:rFonts w:cs="Calibri"/>
                <w:i/>
                <w:iCs/>
                <w:sz w:val="20"/>
                <w:szCs w:val="20"/>
              </w:rPr>
            </w:pPr>
            <w:r w:rsidRPr="00E676E5">
              <w:rPr>
                <w:rFonts w:cs="Calibri"/>
                <w:i/>
                <w:iCs/>
                <w:color w:val="FF0000"/>
                <w:sz w:val="20"/>
                <w:szCs w:val="20"/>
              </w:rPr>
              <w:t xml:space="preserve">18 (1) Every licensee who possesses, </w:t>
            </w:r>
            <w:proofErr w:type="gramStart"/>
            <w:r w:rsidRPr="00E676E5">
              <w:rPr>
                <w:rFonts w:cs="Calibri"/>
                <w:i/>
                <w:iCs/>
                <w:color w:val="FF0000"/>
                <w:sz w:val="20"/>
                <w:szCs w:val="20"/>
              </w:rPr>
              <w:t>uses</w:t>
            </w:r>
            <w:proofErr w:type="gramEnd"/>
            <w:r w:rsidRPr="00E676E5">
              <w:rPr>
                <w:rFonts w:cs="Calibri"/>
                <w:i/>
                <w:iCs/>
                <w:color w:val="FF0000"/>
                <w:sz w:val="20"/>
                <w:szCs w:val="20"/>
              </w:rPr>
              <w:t xml:space="preserve"> or produces a nuclear substance of ≥50 MBq either as 1) a sealed source or 2) shielding shall</w:t>
            </w:r>
            <w:r w:rsidRPr="00E676E5">
              <w:rPr>
                <w:rFonts w:cs="Calibri"/>
                <w:i/>
                <w:iCs/>
                <w:sz w:val="20"/>
                <w:szCs w:val="20"/>
              </w:rPr>
              <w:t xml:space="preserve">, at the following times, conduct leak tests on the sealed source or shielding using instruments and procedures that enable the licensee to detect a leakage of 200 </w:t>
            </w:r>
            <w:proofErr w:type="spellStart"/>
            <w:r w:rsidRPr="00E676E5">
              <w:rPr>
                <w:rFonts w:cs="Calibri"/>
                <w:i/>
                <w:iCs/>
                <w:sz w:val="20"/>
                <w:szCs w:val="20"/>
              </w:rPr>
              <w:t>Bq</w:t>
            </w:r>
            <w:proofErr w:type="spellEnd"/>
            <w:r w:rsidRPr="00E676E5">
              <w:rPr>
                <w:rFonts w:cs="Calibri"/>
                <w:i/>
                <w:iCs/>
                <w:sz w:val="20"/>
                <w:szCs w:val="20"/>
              </w:rPr>
              <w:t xml:space="preserve"> or less of the nuclear substance:</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D0EA3" w14:textId="311DB31B" w:rsidR="00FF2DB6" w:rsidRPr="00640450" w:rsidRDefault="00FF2DB6" w:rsidP="00FF2DB6">
            <w:pPr>
              <w:spacing w:after="120" w:line="240" w:lineRule="auto"/>
              <w:ind w:left="-108"/>
              <w:jc w:val="center"/>
              <w:rPr>
                <w:rFonts w:cs="Calibri"/>
                <w:sz w:val="20"/>
                <w:szCs w:val="20"/>
              </w:rPr>
            </w:pPr>
            <w:r w:rsidRPr="00640450">
              <w:rPr>
                <w:rFonts w:cs="Calibri"/>
                <w:sz w:val="20"/>
                <w:szCs w:val="20"/>
              </w:rPr>
              <w:t>Clarification</w:t>
            </w:r>
          </w:p>
        </w:tc>
        <w:tc>
          <w:tcPr>
            <w:tcW w:w="5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7564F" w14:textId="4E4E395D" w:rsidR="00FF2DB6" w:rsidRPr="00E676E5" w:rsidRDefault="00FF2DB6" w:rsidP="00FF2DB6">
            <w:pPr>
              <w:spacing w:after="120" w:line="240" w:lineRule="auto"/>
              <w:rPr>
                <w:rFonts w:cs="Calibri"/>
                <w:strike/>
                <w:sz w:val="20"/>
                <w:szCs w:val="20"/>
              </w:rPr>
            </w:pPr>
          </w:p>
        </w:tc>
      </w:tr>
    </w:tbl>
    <w:p w14:paraId="020710A2" w14:textId="77777777" w:rsidR="00086BFB" w:rsidRDefault="00086BFB">
      <w:pPr>
        <w:rPr>
          <w:b/>
          <w:color w:val="4F81BD"/>
          <w:sz w:val="20"/>
          <w:szCs w:val="20"/>
        </w:rPr>
      </w:pPr>
    </w:p>
    <w:sectPr w:rsidR="00086BFB" w:rsidSect="005807FC">
      <w:headerReference w:type="default" r:id="rId7"/>
      <w:footerReference w:type="default" r:id="rId8"/>
      <w:pgSz w:w="20160" w:h="12240" w:orient="landscape" w:code="5"/>
      <w:pgMar w:top="432" w:right="1440" w:bottom="144"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EFB0" w14:textId="77777777" w:rsidR="00A54D7C" w:rsidRDefault="00A54D7C">
      <w:pPr>
        <w:spacing w:after="0" w:line="240" w:lineRule="auto"/>
      </w:pPr>
      <w:r>
        <w:separator/>
      </w:r>
    </w:p>
  </w:endnote>
  <w:endnote w:type="continuationSeparator" w:id="0">
    <w:p w14:paraId="3903A4B2" w14:textId="77777777" w:rsidR="00A54D7C" w:rsidRDefault="00A5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640283"/>
      <w:docPartObj>
        <w:docPartGallery w:val="Page Numbers (Bottom of Page)"/>
        <w:docPartUnique/>
      </w:docPartObj>
    </w:sdtPr>
    <w:sdtContent>
      <w:p w14:paraId="4DF5ABA1" w14:textId="6C86D975" w:rsidR="00CA763C" w:rsidRDefault="00CA763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of 8</w:t>
        </w:r>
      </w:p>
    </w:sdtContent>
  </w:sdt>
  <w:p w14:paraId="10C528A1" w14:textId="2242428B" w:rsidR="004D32CA" w:rsidRPr="00CA763C" w:rsidRDefault="004D32CA" w:rsidP="00CA7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CB939" w14:textId="77777777" w:rsidR="00A54D7C" w:rsidRDefault="00A54D7C">
      <w:pPr>
        <w:spacing w:after="0" w:line="240" w:lineRule="auto"/>
      </w:pPr>
      <w:r>
        <w:rPr>
          <w:color w:val="000000"/>
        </w:rPr>
        <w:separator/>
      </w:r>
    </w:p>
  </w:footnote>
  <w:footnote w:type="continuationSeparator" w:id="0">
    <w:p w14:paraId="441D2BBB" w14:textId="77777777" w:rsidR="00A54D7C" w:rsidRDefault="00A5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8DF7" w14:textId="0FCBC64F" w:rsidR="00E676E5" w:rsidRPr="00E676E5" w:rsidRDefault="00E676E5" w:rsidP="00E676E5">
    <w:pPr>
      <w:pStyle w:val="Header"/>
      <w:rPr>
        <w:sz w:val="28"/>
        <w:szCs w:val="28"/>
      </w:rPr>
    </w:pPr>
    <w:r w:rsidRPr="00E676E5">
      <w:rPr>
        <w:b/>
        <w:color w:val="4F81BD"/>
        <w:sz w:val="28"/>
        <w:szCs w:val="28"/>
      </w:rPr>
      <w:t>Industry comments on Discussion Paper DIS-24-01- Proposals to Amend the packaging and Transport of Nuclear Substances Regulations, 2015 and the Nuclear Substances and Radiation Devices Regulations</w:t>
    </w:r>
  </w:p>
  <w:p w14:paraId="0D68D1F7" w14:textId="77777777" w:rsidR="00E676E5" w:rsidRDefault="00E6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131F36D4"/>
    <w:multiLevelType w:val="hybridMultilevel"/>
    <w:tmpl w:val="10888AF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20226700"/>
    <w:multiLevelType w:val="hybridMultilevel"/>
    <w:tmpl w:val="4AF29F9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5D509DE"/>
    <w:multiLevelType w:val="hybridMultilevel"/>
    <w:tmpl w:val="888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262CEC"/>
    <w:multiLevelType w:val="hybridMultilevel"/>
    <w:tmpl w:val="10DE6284"/>
    <w:lvl w:ilvl="0" w:tplc="746CF684">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467E0721"/>
    <w:multiLevelType w:val="multilevel"/>
    <w:tmpl w:val="36AA8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5"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5F174B88"/>
    <w:multiLevelType w:val="hybridMultilevel"/>
    <w:tmpl w:val="BF1AC7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61E556B3"/>
    <w:multiLevelType w:val="hybridMultilevel"/>
    <w:tmpl w:val="8128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5"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7"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0"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1" w15:restartNumberingAfterBreak="0">
    <w:nsid w:val="7F5F2266"/>
    <w:multiLevelType w:val="hybridMultilevel"/>
    <w:tmpl w:val="5C36EE02"/>
    <w:lvl w:ilvl="0" w:tplc="D34237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581489">
    <w:abstractNumId w:val="24"/>
  </w:num>
  <w:num w:numId="2" w16cid:durableId="1543399513">
    <w:abstractNumId w:val="30"/>
  </w:num>
  <w:num w:numId="3" w16cid:durableId="1184519811">
    <w:abstractNumId w:val="6"/>
  </w:num>
  <w:num w:numId="4" w16cid:durableId="165025359">
    <w:abstractNumId w:val="40"/>
  </w:num>
  <w:num w:numId="5" w16cid:durableId="1142697110">
    <w:abstractNumId w:val="36"/>
  </w:num>
  <w:num w:numId="6" w16cid:durableId="48262743">
    <w:abstractNumId w:val="0"/>
  </w:num>
  <w:num w:numId="7" w16cid:durableId="364062724">
    <w:abstractNumId w:val="39"/>
  </w:num>
  <w:num w:numId="8" w16cid:durableId="689405834">
    <w:abstractNumId w:val="33"/>
  </w:num>
  <w:num w:numId="9" w16cid:durableId="1112894267">
    <w:abstractNumId w:val="17"/>
  </w:num>
  <w:num w:numId="10" w16cid:durableId="401485440">
    <w:abstractNumId w:val="26"/>
  </w:num>
  <w:num w:numId="11" w16cid:durableId="783767231">
    <w:abstractNumId w:val="32"/>
  </w:num>
  <w:num w:numId="12" w16cid:durableId="149710803">
    <w:abstractNumId w:val="5"/>
  </w:num>
  <w:num w:numId="13" w16cid:durableId="1781298059">
    <w:abstractNumId w:val="18"/>
  </w:num>
  <w:num w:numId="14" w16cid:durableId="1421559381">
    <w:abstractNumId w:val="7"/>
  </w:num>
  <w:num w:numId="15" w16cid:durableId="1042168217">
    <w:abstractNumId w:val="35"/>
  </w:num>
  <w:num w:numId="16" w16cid:durableId="1944219937">
    <w:abstractNumId w:val="23"/>
  </w:num>
  <w:num w:numId="17" w16cid:durableId="1624464268">
    <w:abstractNumId w:val="22"/>
  </w:num>
  <w:num w:numId="18" w16cid:durableId="1955556158">
    <w:abstractNumId w:val="34"/>
  </w:num>
  <w:num w:numId="19" w16cid:durableId="283003595">
    <w:abstractNumId w:val="28"/>
  </w:num>
  <w:num w:numId="20" w16cid:durableId="2020693382">
    <w:abstractNumId w:val="11"/>
  </w:num>
  <w:num w:numId="21" w16cid:durableId="978649347">
    <w:abstractNumId w:val="12"/>
  </w:num>
  <w:num w:numId="22" w16cid:durableId="686100603">
    <w:abstractNumId w:val="19"/>
  </w:num>
  <w:num w:numId="23" w16cid:durableId="452015430">
    <w:abstractNumId w:val="8"/>
  </w:num>
  <w:num w:numId="24" w16cid:durableId="399401345">
    <w:abstractNumId w:val="2"/>
  </w:num>
  <w:num w:numId="25" w16cid:durableId="161509573">
    <w:abstractNumId w:val="25"/>
  </w:num>
  <w:num w:numId="26" w16cid:durableId="1116758519">
    <w:abstractNumId w:val="1"/>
  </w:num>
  <w:num w:numId="27" w16cid:durableId="1318194277">
    <w:abstractNumId w:val="4"/>
  </w:num>
  <w:num w:numId="28" w16cid:durableId="1351644966">
    <w:abstractNumId w:val="14"/>
  </w:num>
  <w:num w:numId="29" w16cid:durableId="732508199">
    <w:abstractNumId w:val="37"/>
  </w:num>
  <w:num w:numId="30" w16cid:durableId="1702973466">
    <w:abstractNumId w:val="21"/>
  </w:num>
  <w:num w:numId="31" w16cid:durableId="610211539">
    <w:abstractNumId w:val="38"/>
  </w:num>
  <w:num w:numId="32" w16cid:durableId="954168313">
    <w:abstractNumId w:val="13"/>
  </w:num>
  <w:num w:numId="33" w16cid:durableId="752893916">
    <w:abstractNumId w:val="15"/>
  </w:num>
  <w:num w:numId="34" w16cid:durableId="1924877306">
    <w:abstractNumId w:val="27"/>
  </w:num>
  <w:num w:numId="35" w16cid:durableId="1697730997">
    <w:abstractNumId w:val="29"/>
  </w:num>
  <w:num w:numId="36" w16cid:durableId="238296390">
    <w:abstractNumId w:val="16"/>
  </w:num>
  <w:num w:numId="37" w16cid:durableId="1568372055">
    <w:abstractNumId w:val="31"/>
  </w:num>
  <w:num w:numId="38" w16cid:durableId="1337609438">
    <w:abstractNumId w:val="10"/>
  </w:num>
  <w:num w:numId="39" w16cid:durableId="326594490">
    <w:abstractNumId w:val="3"/>
  </w:num>
  <w:num w:numId="40" w16cid:durableId="1390882676">
    <w:abstractNumId w:val="9"/>
  </w:num>
  <w:num w:numId="41" w16cid:durableId="1521896379">
    <w:abstractNumId w:val="41"/>
  </w:num>
  <w:num w:numId="42" w16cid:durableId="18512920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312F0"/>
    <w:rsid w:val="000362B5"/>
    <w:rsid w:val="00042606"/>
    <w:rsid w:val="000535E3"/>
    <w:rsid w:val="00053805"/>
    <w:rsid w:val="00054F4D"/>
    <w:rsid w:val="0006192B"/>
    <w:rsid w:val="000826EA"/>
    <w:rsid w:val="00086BFB"/>
    <w:rsid w:val="000B5B24"/>
    <w:rsid w:val="000C7361"/>
    <w:rsid w:val="000D0819"/>
    <w:rsid w:val="000D3D9A"/>
    <w:rsid w:val="000D5540"/>
    <w:rsid w:val="00120CD0"/>
    <w:rsid w:val="00142401"/>
    <w:rsid w:val="0015568A"/>
    <w:rsid w:val="0016197D"/>
    <w:rsid w:val="0016318D"/>
    <w:rsid w:val="00163B14"/>
    <w:rsid w:val="001B7640"/>
    <w:rsid w:val="001C49E7"/>
    <w:rsid w:val="001D6415"/>
    <w:rsid w:val="001D7804"/>
    <w:rsid w:val="001E520C"/>
    <w:rsid w:val="00212438"/>
    <w:rsid w:val="00220B4B"/>
    <w:rsid w:val="002214C6"/>
    <w:rsid w:val="00254AC7"/>
    <w:rsid w:val="002572EE"/>
    <w:rsid w:val="002769FC"/>
    <w:rsid w:val="00277FDF"/>
    <w:rsid w:val="00294284"/>
    <w:rsid w:val="002A427B"/>
    <w:rsid w:val="002A5B82"/>
    <w:rsid w:val="002B46D5"/>
    <w:rsid w:val="002C66B9"/>
    <w:rsid w:val="002E5902"/>
    <w:rsid w:val="00302EB9"/>
    <w:rsid w:val="00316FF1"/>
    <w:rsid w:val="00323D40"/>
    <w:rsid w:val="0034790F"/>
    <w:rsid w:val="00362B5E"/>
    <w:rsid w:val="003742A8"/>
    <w:rsid w:val="00391984"/>
    <w:rsid w:val="0039321F"/>
    <w:rsid w:val="003A3A3F"/>
    <w:rsid w:val="003A6511"/>
    <w:rsid w:val="003A76E5"/>
    <w:rsid w:val="003E50F9"/>
    <w:rsid w:val="00421DC6"/>
    <w:rsid w:val="00433CCD"/>
    <w:rsid w:val="004341DF"/>
    <w:rsid w:val="00447D99"/>
    <w:rsid w:val="00450C91"/>
    <w:rsid w:val="004637FC"/>
    <w:rsid w:val="00467F82"/>
    <w:rsid w:val="0047378C"/>
    <w:rsid w:val="004A6B27"/>
    <w:rsid w:val="004D32CA"/>
    <w:rsid w:val="004F5320"/>
    <w:rsid w:val="004F7E20"/>
    <w:rsid w:val="005048EA"/>
    <w:rsid w:val="00544526"/>
    <w:rsid w:val="00561BCD"/>
    <w:rsid w:val="0056298F"/>
    <w:rsid w:val="005807FC"/>
    <w:rsid w:val="00583E27"/>
    <w:rsid w:val="005957B9"/>
    <w:rsid w:val="00595B84"/>
    <w:rsid w:val="005C04FE"/>
    <w:rsid w:val="005E3FD1"/>
    <w:rsid w:val="005E43C0"/>
    <w:rsid w:val="006069B9"/>
    <w:rsid w:val="00607C00"/>
    <w:rsid w:val="00631A3D"/>
    <w:rsid w:val="00640450"/>
    <w:rsid w:val="00670A51"/>
    <w:rsid w:val="006818B3"/>
    <w:rsid w:val="0069718A"/>
    <w:rsid w:val="006A727D"/>
    <w:rsid w:val="006C7DCC"/>
    <w:rsid w:val="006D0003"/>
    <w:rsid w:val="00702B43"/>
    <w:rsid w:val="00711439"/>
    <w:rsid w:val="007151E1"/>
    <w:rsid w:val="00715F84"/>
    <w:rsid w:val="00725BA8"/>
    <w:rsid w:val="00731C5E"/>
    <w:rsid w:val="0074472D"/>
    <w:rsid w:val="00745642"/>
    <w:rsid w:val="00757986"/>
    <w:rsid w:val="00765F87"/>
    <w:rsid w:val="00790B69"/>
    <w:rsid w:val="00790CB6"/>
    <w:rsid w:val="007A5D41"/>
    <w:rsid w:val="007B100E"/>
    <w:rsid w:val="007B7D93"/>
    <w:rsid w:val="007D2238"/>
    <w:rsid w:val="007E39BD"/>
    <w:rsid w:val="007F31CC"/>
    <w:rsid w:val="00840E4A"/>
    <w:rsid w:val="00854251"/>
    <w:rsid w:val="00867151"/>
    <w:rsid w:val="00872AFB"/>
    <w:rsid w:val="00890194"/>
    <w:rsid w:val="0089641D"/>
    <w:rsid w:val="00897E8D"/>
    <w:rsid w:val="008D0E1B"/>
    <w:rsid w:val="008D0F60"/>
    <w:rsid w:val="008F04C5"/>
    <w:rsid w:val="00902727"/>
    <w:rsid w:val="00910D51"/>
    <w:rsid w:val="00932111"/>
    <w:rsid w:val="009652E3"/>
    <w:rsid w:val="00971A4B"/>
    <w:rsid w:val="00982893"/>
    <w:rsid w:val="009A586D"/>
    <w:rsid w:val="009A7DF3"/>
    <w:rsid w:val="009E5034"/>
    <w:rsid w:val="00A07763"/>
    <w:rsid w:val="00A20A04"/>
    <w:rsid w:val="00A21963"/>
    <w:rsid w:val="00A32A95"/>
    <w:rsid w:val="00A32DD3"/>
    <w:rsid w:val="00A364A9"/>
    <w:rsid w:val="00A43044"/>
    <w:rsid w:val="00A513CB"/>
    <w:rsid w:val="00A51D01"/>
    <w:rsid w:val="00A54D7C"/>
    <w:rsid w:val="00A66B95"/>
    <w:rsid w:val="00A758D8"/>
    <w:rsid w:val="00A9777E"/>
    <w:rsid w:val="00AA76B7"/>
    <w:rsid w:val="00AB5EB4"/>
    <w:rsid w:val="00AD1330"/>
    <w:rsid w:val="00B31044"/>
    <w:rsid w:val="00B57435"/>
    <w:rsid w:val="00B84D1E"/>
    <w:rsid w:val="00B94370"/>
    <w:rsid w:val="00BB3E86"/>
    <w:rsid w:val="00BC676C"/>
    <w:rsid w:val="00BE41A3"/>
    <w:rsid w:val="00BE77A7"/>
    <w:rsid w:val="00BF3609"/>
    <w:rsid w:val="00C06811"/>
    <w:rsid w:val="00C475FE"/>
    <w:rsid w:val="00C66C20"/>
    <w:rsid w:val="00CA54F4"/>
    <w:rsid w:val="00CA71B8"/>
    <w:rsid w:val="00CA763C"/>
    <w:rsid w:val="00CC50D4"/>
    <w:rsid w:val="00CD34C2"/>
    <w:rsid w:val="00CE5042"/>
    <w:rsid w:val="00D02FF9"/>
    <w:rsid w:val="00D10051"/>
    <w:rsid w:val="00D13220"/>
    <w:rsid w:val="00D311EF"/>
    <w:rsid w:val="00D36335"/>
    <w:rsid w:val="00D532FA"/>
    <w:rsid w:val="00D768CC"/>
    <w:rsid w:val="00DB5E97"/>
    <w:rsid w:val="00DB6C7C"/>
    <w:rsid w:val="00DC3478"/>
    <w:rsid w:val="00DD5BAD"/>
    <w:rsid w:val="00DE3B67"/>
    <w:rsid w:val="00E069AB"/>
    <w:rsid w:val="00E14976"/>
    <w:rsid w:val="00E168AB"/>
    <w:rsid w:val="00E51FED"/>
    <w:rsid w:val="00E66E94"/>
    <w:rsid w:val="00E676E5"/>
    <w:rsid w:val="00E67B9A"/>
    <w:rsid w:val="00EC4658"/>
    <w:rsid w:val="00EC72FF"/>
    <w:rsid w:val="00ED4557"/>
    <w:rsid w:val="00F117F7"/>
    <w:rsid w:val="00F22808"/>
    <w:rsid w:val="00F321CB"/>
    <w:rsid w:val="00F84392"/>
    <w:rsid w:val="00F869A5"/>
    <w:rsid w:val="00FA6DE6"/>
    <w:rsid w:val="00FB75FE"/>
    <w:rsid w:val="00FD117F"/>
    <w:rsid w:val="00FE30AB"/>
    <w:rsid w:val="00FE503E"/>
    <w:rsid w:val="00FF2D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4032D"/>
  <w15:docId w15:val="{54FAC612-D321-4F51-9E3F-1722BEFC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paragraph" w:customStyle="1" w:styleId="subsection">
    <w:name w:val="subsection"/>
    <w:basedOn w:val="Normal"/>
    <w:rsid w:val="001C49E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CA"/>
    </w:rPr>
  </w:style>
  <w:style w:type="character" w:customStyle="1" w:styleId="sectionlabel">
    <w:name w:val="sectionlabel"/>
    <w:basedOn w:val="DefaultParagraphFont"/>
    <w:rsid w:val="001C49E7"/>
  </w:style>
  <w:style w:type="character" w:customStyle="1" w:styleId="lawlabel">
    <w:name w:val="lawlabel"/>
    <w:basedOn w:val="DefaultParagraphFont"/>
    <w:rsid w:val="001C49E7"/>
  </w:style>
  <w:style w:type="paragraph" w:customStyle="1" w:styleId="paragraph">
    <w:name w:val="paragraph"/>
    <w:basedOn w:val="Normal"/>
    <w:rsid w:val="001C49E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CA"/>
    </w:rPr>
  </w:style>
  <w:style w:type="paragraph" w:customStyle="1" w:styleId="section">
    <w:name w:val="section"/>
    <w:basedOn w:val="Normal"/>
    <w:rsid w:val="001C49E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CA"/>
    </w:rPr>
  </w:style>
  <w:style w:type="paragraph" w:styleId="NoSpacing">
    <w:name w:val="No Spacing"/>
    <w:uiPriority w:val="1"/>
    <w:qFormat/>
    <w:rsid w:val="009A7DF3"/>
    <w:pPr>
      <w:suppressAutoHyphens/>
    </w:pPr>
    <w:rPr>
      <w:sz w:val="22"/>
      <w:szCs w:val="22"/>
      <w:lang w:val="en-CA"/>
    </w:rPr>
  </w:style>
  <w:style w:type="paragraph" w:styleId="Header">
    <w:name w:val="header"/>
    <w:basedOn w:val="Normal"/>
    <w:link w:val="HeaderChar"/>
    <w:uiPriority w:val="99"/>
    <w:unhideWhenUsed/>
    <w:rsid w:val="004D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2CA"/>
    <w:rPr>
      <w:sz w:val="22"/>
      <w:szCs w:val="22"/>
      <w:lang w:val="en-CA"/>
    </w:rPr>
  </w:style>
  <w:style w:type="paragraph" w:styleId="Footer">
    <w:name w:val="footer"/>
    <w:basedOn w:val="Normal"/>
    <w:link w:val="FooterChar"/>
    <w:uiPriority w:val="99"/>
    <w:unhideWhenUsed/>
    <w:rsid w:val="004D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2CA"/>
    <w:rPr>
      <w:sz w:val="22"/>
      <w:szCs w:val="22"/>
      <w:lang w:val="en-CA"/>
    </w:rPr>
  </w:style>
  <w:style w:type="character" w:customStyle="1" w:styleId="normaltextrun">
    <w:name w:val="normaltextrun"/>
    <w:basedOn w:val="DefaultParagraphFont"/>
    <w:rsid w:val="00FF2DB6"/>
  </w:style>
  <w:style w:type="character" w:customStyle="1" w:styleId="eop">
    <w:name w:val="eop"/>
    <w:basedOn w:val="DefaultParagraphFont"/>
    <w:rsid w:val="00FF2DB6"/>
  </w:style>
  <w:style w:type="paragraph" w:customStyle="1" w:styleId="Default">
    <w:name w:val="Default"/>
    <w:rsid w:val="00FF2DB6"/>
    <w:pPr>
      <w:autoSpaceDE w:val="0"/>
      <w:adjustRightInd w:val="0"/>
      <w:textAlignment w:val="auto"/>
    </w:pPr>
    <w:rPr>
      <w:rFonts w:ascii="Times New Roman" w:hAnsi="Times New Roman"/>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84262">
      <w:bodyDiv w:val="1"/>
      <w:marLeft w:val="0"/>
      <w:marRight w:val="0"/>
      <w:marTop w:val="0"/>
      <w:marBottom w:val="0"/>
      <w:divBdr>
        <w:top w:val="none" w:sz="0" w:space="0" w:color="auto"/>
        <w:left w:val="none" w:sz="0" w:space="0" w:color="auto"/>
        <w:bottom w:val="none" w:sz="0" w:space="0" w:color="auto"/>
        <w:right w:val="none" w:sz="0" w:space="0" w:color="auto"/>
      </w:divBdr>
    </w:div>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Industry comments on RD 360  “Life Extension of Nuclear Power Plants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comments on RD 360  “Life Extension of Nuclear Power Plants “</dc:title>
  <dc:creator>maleki</dc:creator>
  <cp:lastModifiedBy>HATFIELD Sherie -CNO</cp:lastModifiedBy>
  <cp:revision>2</cp:revision>
  <dcterms:created xsi:type="dcterms:W3CDTF">2024-05-31T14:01:00Z</dcterms:created>
  <dcterms:modified xsi:type="dcterms:W3CDTF">2024-05-31T14:01:00Z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a2027-0073-4d04-8621-9100fe45f3ce_Enabled">
    <vt:lpwstr>true</vt:lpwstr>
  </property>
  <property fmtid="{D5CDD505-2E9C-101B-9397-08002B2CF9AE}" pid="3" name="MSIP_Label_f6aa2027-0073-4d04-8621-9100fe45f3ce_SetDate">
    <vt:lpwstr>2024-04-29T19:00:43Z</vt:lpwstr>
  </property>
  <property fmtid="{D5CDD505-2E9C-101B-9397-08002B2CF9AE}" pid="4" name="MSIP_Label_f6aa2027-0073-4d04-8621-9100fe45f3ce_Method">
    <vt:lpwstr>Standard</vt:lpwstr>
  </property>
  <property fmtid="{D5CDD505-2E9C-101B-9397-08002B2CF9AE}" pid="5" name="MSIP_Label_f6aa2027-0073-4d04-8621-9100fe45f3ce_Name">
    <vt:lpwstr>Internal Use</vt:lpwstr>
  </property>
  <property fmtid="{D5CDD505-2E9C-101B-9397-08002B2CF9AE}" pid="6" name="MSIP_Label_f6aa2027-0073-4d04-8621-9100fe45f3ce_SiteId">
    <vt:lpwstr>4ed482a1-eaf2-4772-92f1-30fff2ecc01c</vt:lpwstr>
  </property>
  <property fmtid="{D5CDD505-2E9C-101B-9397-08002B2CF9AE}" pid="7" name="MSIP_Label_f6aa2027-0073-4d04-8621-9100fe45f3ce_ActionId">
    <vt:lpwstr>4ef9e9fb-f17e-4654-a710-38bc90d80247</vt:lpwstr>
  </property>
  <property fmtid="{D5CDD505-2E9C-101B-9397-08002B2CF9AE}" pid="8" name="MSIP_Label_f6aa2027-0073-4d04-8621-9100fe45f3ce_ContentBits">
    <vt:lpwstr>0</vt:lpwstr>
  </property>
  <property fmtid="{D5CDD505-2E9C-101B-9397-08002B2CF9AE}" pid="9" name="MSIP_Label_de7afb16-bed2-47a7-a936-de53beb31938_Enabled">
    <vt:lpwstr>true</vt:lpwstr>
  </property>
  <property fmtid="{D5CDD505-2E9C-101B-9397-08002B2CF9AE}" pid="10" name="MSIP_Label_de7afb16-bed2-47a7-a936-de53beb31938_SetDate">
    <vt:lpwstr>2024-05-31T14:01:53Z</vt:lpwstr>
  </property>
  <property fmtid="{D5CDD505-2E9C-101B-9397-08002B2CF9AE}" pid="11" name="MSIP_Label_de7afb16-bed2-47a7-a936-de53beb31938_Method">
    <vt:lpwstr>Standard</vt:lpwstr>
  </property>
  <property fmtid="{D5CDD505-2E9C-101B-9397-08002B2CF9AE}" pid="12" name="MSIP_Label_de7afb16-bed2-47a7-a936-de53beb31938_Name">
    <vt:lpwstr>de7afb16-bed2-47a7-a936-de53beb31938</vt:lpwstr>
  </property>
  <property fmtid="{D5CDD505-2E9C-101B-9397-08002B2CF9AE}" pid="13" name="MSIP_Label_de7afb16-bed2-47a7-a936-de53beb31938_SiteId">
    <vt:lpwstr>962f21cf-93ea-449f-99bf-402e2b2987b2</vt:lpwstr>
  </property>
  <property fmtid="{D5CDD505-2E9C-101B-9397-08002B2CF9AE}" pid="14" name="MSIP_Label_de7afb16-bed2-47a7-a936-de53beb31938_ActionId">
    <vt:lpwstr>712257c0-3dd9-48da-a2aa-0b69b8bdb29f</vt:lpwstr>
  </property>
  <property fmtid="{D5CDD505-2E9C-101B-9397-08002B2CF9AE}" pid="15" name="MSIP_Label_de7afb16-bed2-47a7-a936-de53beb31938_ContentBits">
    <vt:lpwstr>0</vt:lpwstr>
  </property>
</Properties>
</file>